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2414" w:rsidRDefault="00D72414">
      <w:pPr>
        <w:pBdr>
          <w:top w:val="nil"/>
          <w:left w:val="nil"/>
          <w:bottom w:val="nil"/>
          <w:right w:val="nil"/>
          <w:between w:val="nil"/>
        </w:pBdr>
        <w:spacing w:after="240"/>
        <w:jc w:val="center"/>
        <w:rPr>
          <w:rFonts w:ascii="Arial" w:eastAsia="Arial" w:hAnsi="Arial" w:cs="Arial"/>
          <w:b/>
          <w:color w:val="000000"/>
          <w:sz w:val="36"/>
          <w:szCs w:val="36"/>
        </w:rPr>
      </w:pPr>
    </w:p>
    <w:p w:rsidR="00D72414" w:rsidRDefault="00D72414">
      <w:pPr>
        <w:pBdr>
          <w:top w:val="nil"/>
          <w:left w:val="nil"/>
          <w:bottom w:val="nil"/>
          <w:right w:val="nil"/>
          <w:between w:val="nil"/>
        </w:pBdr>
        <w:spacing w:after="240"/>
        <w:jc w:val="center"/>
        <w:rPr>
          <w:rFonts w:ascii="Arial" w:eastAsia="Arial" w:hAnsi="Arial" w:cs="Arial"/>
          <w:b/>
          <w:color w:val="000000"/>
          <w:sz w:val="36"/>
          <w:szCs w:val="36"/>
        </w:rPr>
      </w:pPr>
    </w:p>
    <w:p w:rsidR="00D72414" w:rsidRDefault="00D72414">
      <w:pPr>
        <w:pBdr>
          <w:top w:val="nil"/>
          <w:left w:val="nil"/>
          <w:bottom w:val="nil"/>
          <w:right w:val="nil"/>
          <w:between w:val="nil"/>
        </w:pBdr>
        <w:spacing w:after="240"/>
        <w:jc w:val="center"/>
        <w:rPr>
          <w:rFonts w:ascii="Arial" w:eastAsia="Arial" w:hAnsi="Arial" w:cs="Arial"/>
          <w:b/>
          <w:color w:val="000000"/>
          <w:sz w:val="36"/>
          <w:szCs w:val="36"/>
        </w:rPr>
      </w:pPr>
    </w:p>
    <w:p w:rsidR="00D72414" w:rsidRDefault="00D72414">
      <w:pPr>
        <w:pBdr>
          <w:top w:val="nil"/>
          <w:left w:val="nil"/>
          <w:bottom w:val="nil"/>
          <w:right w:val="nil"/>
          <w:between w:val="nil"/>
        </w:pBdr>
        <w:spacing w:after="240"/>
        <w:jc w:val="center"/>
        <w:rPr>
          <w:rFonts w:ascii="Arial" w:eastAsia="Arial" w:hAnsi="Arial" w:cs="Arial"/>
          <w:b/>
          <w:color w:val="000000"/>
          <w:sz w:val="36"/>
          <w:szCs w:val="36"/>
        </w:rPr>
      </w:pPr>
    </w:p>
    <w:p w:rsidR="00D72414" w:rsidRDefault="00D72414">
      <w:pPr>
        <w:pBdr>
          <w:top w:val="nil"/>
          <w:left w:val="nil"/>
          <w:bottom w:val="nil"/>
          <w:right w:val="nil"/>
          <w:between w:val="nil"/>
        </w:pBdr>
        <w:spacing w:after="240"/>
        <w:jc w:val="center"/>
        <w:rPr>
          <w:rFonts w:ascii="Arial" w:eastAsia="Arial" w:hAnsi="Arial" w:cs="Arial"/>
          <w:b/>
          <w:color w:val="000000"/>
          <w:sz w:val="36"/>
          <w:szCs w:val="36"/>
        </w:rPr>
      </w:pPr>
    </w:p>
    <w:p w:rsidR="00D72414" w:rsidRDefault="00C0362E">
      <w:pPr>
        <w:pBdr>
          <w:top w:val="nil"/>
          <w:left w:val="nil"/>
          <w:bottom w:val="nil"/>
          <w:right w:val="nil"/>
          <w:between w:val="nil"/>
        </w:pBdr>
        <w:spacing w:after="240"/>
        <w:jc w:val="center"/>
        <w:rPr>
          <w:rFonts w:ascii="Arial" w:eastAsia="Arial" w:hAnsi="Arial" w:cs="Arial"/>
          <w:b/>
          <w:color w:val="000000"/>
          <w:sz w:val="36"/>
          <w:szCs w:val="36"/>
        </w:rPr>
      </w:pPr>
      <w:r>
        <w:rPr>
          <w:rFonts w:ascii="Arial" w:eastAsia="Arial" w:hAnsi="Arial" w:cs="Arial"/>
          <w:b/>
          <w:color w:val="000000"/>
          <w:sz w:val="36"/>
          <w:szCs w:val="36"/>
        </w:rPr>
        <w:t>Framework Schedule 3 (Framework Prices)</w:t>
      </w:r>
    </w:p>
    <w:p w:rsidR="00D72414" w:rsidRDefault="00C0362E">
      <w:pPr>
        <w:pBdr>
          <w:top w:val="nil"/>
          <w:left w:val="nil"/>
          <w:bottom w:val="nil"/>
          <w:right w:val="nil"/>
          <w:between w:val="nil"/>
        </w:pBdr>
        <w:spacing w:after="240"/>
        <w:jc w:val="center"/>
        <w:rPr>
          <w:rFonts w:ascii="Arial" w:eastAsia="Arial" w:hAnsi="Arial" w:cs="Arial"/>
          <w:color w:val="000000"/>
          <w:sz w:val="36"/>
          <w:szCs w:val="36"/>
        </w:rPr>
      </w:pPr>
      <w:r>
        <w:rPr>
          <w:rFonts w:ascii="Arial" w:eastAsia="Arial" w:hAnsi="Arial" w:cs="Arial"/>
          <w:color w:val="000000"/>
          <w:sz w:val="36"/>
          <w:szCs w:val="36"/>
        </w:rPr>
        <w:t>Debt Resolution Services Framework</w:t>
      </w:r>
    </w:p>
    <w:p w:rsidR="00D72414" w:rsidRDefault="00D72414">
      <w:pPr>
        <w:pBdr>
          <w:top w:val="nil"/>
          <w:left w:val="nil"/>
          <w:bottom w:val="nil"/>
          <w:right w:val="nil"/>
          <w:between w:val="nil"/>
        </w:pBdr>
        <w:spacing w:after="240"/>
        <w:jc w:val="center"/>
        <w:rPr>
          <w:rFonts w:ascii="Arial" w:eastAsia="Arial" w:hAnsi="Arial" w:cs="Arial"/>
          <w:color w:val="000000"/>
          <w:sz w:val="36"/>
          <w:szCs w:val="36"/>
          <w:highlight w:val="yellow"/>
        </w:rPr>
      </w:pPr>
    </w:p>
    <w:p w:rsidR="00D72414" w:rsidRDefault="00D72414">
      <w:pPr>
        <w:rPr>
          <w:highlight w:val="yellow"/>
        </w:rPr>
      </w:pPr>
    </w:p>
    <w:p w:rsidR="00D72414" w:rsidRDefault="00D72414">
      <w:pPr>
        <w:rPr>
          <w:highlight w:val="yellow"/>
        </w:rPr>
      </w:pPr>
    </w:p>
    <w:p w:rsidR="00D72414" w:rsidRDefault="00D72414">
      <w:pPr>
        <w:rPr>
          <w:highlight w:val="yellow"/>
        </w:rPr>
      </w:pPr>
    </w:p>
    <w:p w:rsidR="00D72414" w:rsidRDefault="00D72414"/>
    <w:p w:rsidR="00D72414" w:rsidRDefault="00D72414"/>
    <w:p w:rsidR="00D72414" w:rsidRDefault="00D72414"/>
    <w:p w:rsidR="00D72414" w:rsidRDefault="00D72414"/>
    <w:p w:rsidR="00D72414" w:rsidRDefault="00D72414"/>
    <w:p w:rsidR="00D72414" w:rsidRDefault="00D72414"/>
    <w:p w:rsidR="00D72414" w:rsidRDefault="00D72414"/>
    <w:p w:rsidR="00D72414" w:rsidRDefault="00D72414"/>
    <w:p w:rsidR="00D72414" w:rsidRDefault="00D72414"/>
    <w:p w:rsidR="00D72414" w:rsidRDefault="00D72414"/>
    <w:p w:rsidR="00D72414" w:rsidRDefault="00D72414">
      <w:pPr>
        <w:rPr>
          <w:rFonts w:ascii="Arial" w:eastAsia="Arial" w:hAnsi="Arial" w:cs="Arial"/>
        </w:rPr>
      </w:pPr>
    </w:p>
    <w:p w:rsidR="00D72414" w:rsidRDefault="00D72414">
      <w:pPr>
        <w:rPr>
          <w:rFonts w:ascii="Arial" w:eastAsia="Arial" w:hAnsi="Arial" w:cs="Arial"/>
        </w:rPr>
      </w:pPr>
      <w:bookmarkStart w:id="0" w:name="_heading=h.gjdgxs" w:colFirst="0" w:colLast="0"/>
      <w:bookmarkEnd w:id="0"/>
    </w:p>
    <w:p w:rsidR="00D72414" w:rsidRDefault="00C0362E">
      <w:pPr>
        <w:rPr>
          <w:rFonts w:ascii="Arial" w:eastAsia="Arial" w:hAnsi="Arial" w:cs="Arial"/>
          <w:sz w:val="22"/>
          <w:szCs w:val="22"/>
        </w:rPr>
      </w:pPr>
      <w:r>
        <w:rPr>
          <w:rFonts w:ascii="Arial" w:eastAsia="Arial" w:hAnsi="Arial" w:cs="Arial"/>
          <w:b/>
          <w:sz w:val="22"/>
          <w:szCs w:val="22"/>
        </w:rPr>
        <w:t>INTRODUCTION</w:t>
      </w:r>
    </w:p>
    <w:p w:rsidR="00D72414" w:rsidRDefault="00D72414">
      <w:pPr>
        <w:rPr>
          <w:rFonts w:ascii="Arial" w:eastAsia="Arial" w:hAnsi="Arial" w:cs="Arial"/>
          <w:sz w:val="22"/>
          <w:szCs w:val="22"/>
        </w:rPr>
      </w:pPr>
    </w:p>
    <w:p w:rsidR="00D72414" w:rsidRDefault="00C0362E">
      <w:pPr>
        <w:numPr>
          <w:ilvl w:val="0"/>
          <w:numId w:val="27"/>
        </w:numPr>
        <w:pBdr>
          <w:top w:val="nil"/>
          <w:left w:val="nil"/>
          <w:bottom w:val="nil"/>
          <w:right w:val="nil"/>
          <w:between w:val="nil"/>
        </w:pBdr>
        <w:tabs>
          <w:tab w:val="left" w:pos="142"/>
        </w:tabs>
        <w:spacing w:before="120" w:after="240"/>
        <w:jc w:val="both"/>
        <w:rPr>
          <w:rFonts w:ascii="Arial" w:eastAsia="Arial" w:hAnsi="Arial" w:cs="Arial"/>
          <w:b/>
          <w:color w:val="000000"/>
          <w:sz w:val="20"/>
          <w:szCs w:val="20"/>
        </w:rPr>
      </w:pPr>
      <w:r>
        <w:rPr>
          <w:rFonts w:ascii="Arial" w:eastAsia="Arial" w:hAnsi="Arial" w:cs="Arial"/>
          <w:b/>
          <w:color w:val="000000"/>
          <w:sz w:val="20"/>
          <w:szCs w:val="20"/>
        </w:rPr>
        <w:t>How Framework Prices are used to calculate Call-Off Charges</w:t>
      </w:r>
    </w:p>
    <w:p w:rsidR="00D72414" w:rsidRDefault="00C0362E">
      <w:pPr>
        <w:numPr>
          <w:ilvl w:val="1"/>
          <w:numId w:val="27"/>
        </w:numPr>
        <w:pBdr>
          <w:top w:val="nil"/>
          <w:left w:val="nil"/>
          <w:bottom w:val="nil"/>
          <w:right w:val="nil"/>
          <w:between w:val="nil"/>
        </w:pBdr>
        <w:tabs>
          <w:tab w:val="left" w:pos="709"/>
          <w:tab w:val="left" w:pos="1134"/>
        </w:tabs>
        <w:spacing w:before="120" w:after="120"/>
        <w:ind w:left="1134" w:hanging="504"/>
        <w:rPr>
          <w:rFonts w:ascii="Arial" w:eastAsia="Arial" w:hAnsi="Arial" w:cs="Arial"/>
          <w:color w:val="000000"/>
          <w:sz w:val="20"/>
          <w:szCs w:val="20"/>
        </w:rPr>
      </w:pPr>
      <w:r>
        <w:rPr>
          <w:rFonts w:ascii="Arial" w:eastAsia="Arial" w:hAnsi="Arial" w:cs="Arial"/>
          <w:color w:val="000000"/>
          <w:sz w:val="20"/>
          <w:szCs w:val="20"/>
        </w:rPr>
        <w:t xml:space="preserve">The Framework Prices: </w:t>
      </w:r>
    </w:p>
    <w:p w:rsidR="00D72414" w:rsidRDefault="00C0362E">
      <w:pPr>
        <w:numPr>
          <w:ilvl w:val="2"/>
          <w:numId w:val="27"/>
        </w:numPr>
        <w:pBdr>
          <w:top w:val="nil"/>
          <w:left w:val="nil"/>
          <w:bottom w:val="nil"/>
          <w:right w:val="nil"/>
          <w:between w:val="nil"/>
        </w:pBdr>
        <w:tabs>
          <w:tab w:val="left" w:pos="1985"/>
          <w:tab w:val="left" w:pos="2127"/>
          <w:tab w:val="left" w:pos="1440"/>
        </w:tabs>
        <w:spacing w:before="120" w:after="120"/>
        <w:ind w:left="1980" w:hanging="810"/>
        <w:rPr>
          <w:rFonts w:ascii="Arial" w:eastAsia="Arial" w:hAnsi="Arial" w:cs="Arial"/>
          <w:color w:val="000000"/>
          <w:sz w:val="20"/>
          <w:szCs w:val="20"/>
        </w:rPr>
      </w:pPr>
      <w:r>
        <w:rPr>
          <w:rFonts w:ascii="Arial" w:eastAsia="Arial" w:hAnsi="Arial" w:cs="Arial"/>
          <w:color w:val="000000"/>
          <w:sz w:val="20"/>
          <w:szCs w:val="20"/>
        </w:rPr>
        <w:t>will be used as the basis for the Charges (and are maximums that the Supplier may charge) under each Call-Off Contract; and</w:t>
      </w:r>
    </w:p>
    <w:p w:rsidR="00D72414" w:rsidRDefault="00C0362E">
      <w:pPr>
        <w:numPr>
          <w:ilvl w:val="2"/>
          <w:numId w:val="27"/>
        </w:numPr>
        <w:pBdr>
          <w:top w:val="nil"/>
          <w:left w:val="nil"/>
          <w:bottom w:val="nil"/>
          <w:right w:val="nil"/>
          <w:between w:val="nil"/>
        </w:pBdr>
        <w:tabs>
          <w:tab w:val="left" w:pos="1985"/>
          <w:tab w:val="left" w:pos="2127"/>
        </w:tabs>
        <w:spacing w:before="120" w:after="120"/>
        <w:ind w:left="1980" w:hanging="810"/>
        <w:rPr>
          <w:rFonts w:ascii="Arial" w:eastAsia="Arial" w:hAnsi="Arial" w:cs="Arial"/>
          <w:color w:val="000000"/>
          <w:sz w:val="20"/>
          <w:szCs w:val="20"/>
        </w:rPr>
      </w:pPr>
      <w:r>
        <w:rPr>
          <w:rFonts w:ascii="Arial" w:eastAsia="Arial" w:hAnsi="Arial" w:cs="Arial"/>
          <w:color w:val="000000"/>
          <w:sz w:val="20"/>
          <w:szCs w:val="20"/>
        </w:rPr>
        <w:t>cannot be increased except as in accordance with this Schedule.</w:t>
      </w:r>
    </w:p>
    <w:p w:rsidR="00D72414" w:rsidRDefault="00C0362E">
      <w:pPr>
        <w:numPr>
          <w:ilvl w:val="1"/>
          <w:numId w:val="27"/>
        </w:numPr>
        <w:pBdr>
          <w:top w:val="nil"/>
          <w:left w:val="nil"/>
          <w:bottom w:val="nil"/>
          <w:right w:val="nil"/>
          <w:between w:val="nil"/>
        </w:pBdr>
        <w:tabs>
          <w:tab w:val="left" w:pos="709"/>
          <w:tab w:val="left" w:pos="1134"/>
        </w:tabs>
        <w:spacing w:before="120" w:after="120"/>
        <w:ind w:left="1134" w:hanging="504"/>
        <w:rPr>
          <w:rFonts w:ascii="Arial" w:eastAsia="Arial" w:hAnsi="Arial" w:cs="Arial"/>
          <w:color w:val="000000"/>
          <w:sz w:val="20"/>
          <w:szCs w:val="20"/>
        </w:rPr>
      </w:pPr>
      <w:r>
        <w:rPr>
          <w:rFonts w:ascii="Arial" w:eastAsia="Arial" w:hAnsi="Arial" w:cs="Arial"/>
          <w:color w:val="000000"/>
          <w:sz w:val="20"/>
          <w:szCs w:val="20"/>
        </w:rPr>
        <w:t>The Charges:</w:t>
      </w:r>
    </w:p>
    <w:p w:rsidR="00D72414" w:rsidRDefault="00C0362E">
      <w:pPr>
        <w:numPr>
          <w:ilvl w:val="2"/>
          <w:numId w:val="27"/>
        </w:numPr>
        <w:pBdr>
          <w:top w:val="nil"/>
          <w:left w:val="nil"/>
          <w:bottom w:val="nil"/>
          <w:right w:val="nil"/>
          <w:between w:val="nil"/>
        </w:pBdr>
        <w:tabs>
          <w:tab w:val="left" w:pos="1985"/>
          <w:tab w:val="left" w:pos="2127"/>
        </w:tabs>
        <w:spacing w:before="120" w:after="120"/>
        <w:ind w:left="1980" w:hanging="810"/>
        <w:rPr>
          <w:rFonts w:ascii="Arial" w:eastAsia="Arial" w:hAnsi="Arial" w:cs="Arial"/>
          <w:color w:val="000000"/>
          <w:sz w:val="20"/>
          <w:szCs w:val="20"/>
        </w:rPr>
      </w:pPr>
      <w:r>
        <w:rPr>
          <w:rFonts w:ascii="Arial" w:eastAsia="Arial" w:hAnsi="Arial" w:cs="Arial"/>
          <w:color w:val="000000"/>
          <w:sz w:val="20"/>
          <w:szCs w:val="20"/>
        </w:rPr>
        <w:t xml:space="preserve">shall be calculated in accordance with the terms of the Call Off Contract and in particular in accordance with the terms of the Order Form; </w:t>
      </w:r>
    </w:p>
    <w:p w:rsidR="00D72414" w:rsidRDefault="00C0362E">
      <w:pPr>
        <w:numPr>
          <w:ilvl w:val="2"/>
          <w:numId w:val="27"/>
        </w:numPr>
        <w:pBdr>
          <w:top w:val="nil"/>
          <w:left w:val="nil"/>
          <w:bottom w:val="nil"/>
          <w:right w:val="nil"/>
          <w:between w:val="nil"/>
        </w:pBdr>
        <w:tabs>
          <w:tab w:val="left" w:pos="1985"/>
          <w:tab w:val="left" w:pos="2127"/>
        </w:tabs>
        <w:spacing w:before="120" w:after="120"/>
        <w:ind w:left="1980" w:hanging="810"/>
        <w:rPr>
          <w:rFonts w:ascii="Arial" w:eastAsia="Arial" w:hAnsi="Arial" w:cs="Arial"/>
          <w:color w:val="000000"/>
          <w:sz w:val="20"/>
          <w:szCs w:val="20"/>
        </w:rPr>
      </w:pPr>
      <w:r>
        <w:rPr>
          <w:rFonts w:ascii="Arial" w:eastAsia="Arial" w:hAnsi="Arial" w:cs="Arial"/>
          <w:color w:val="000000"/>
          <w:sz w:val="20"/>
          <w:szCs w:val="20"/>
        </w:rPr>
        <w:t>cannot be increased except as specifically permitted by the Call Off Contract and in particular shall only be subject to Indexation where specifically stated in the Order Form.</w:t>
      </w:r>
    </w:p>
    <w:p w:rsidR="00D72414" w:rsidRDefault="00C0362E">
      <w:pPr>
        <w:numPr>
          <w:ilvl w:val="1"/>
          <w:numId w:val="27"/>
        </w:numPr>
        <w:pBdr>
          <w:top w:val="nil"/>
          <w:left w:val="nil"/>
          <w:bottom w:val="nil"/>
          <w:right w:val="nil"/>
          <w:between w:val="nil"/>
        </w:pBdr>
        <w:tabs>
          <w:tab w:val="left" w:pos="709"/>
          <w:tab w:val="left" w:pos="1134"/>
        </w:tabs>
        <w:spacing w:before="120" w:after="120"/>
        <w:ind w:left="1134" w:hanging="504"/>
        <w:rPr>
          <w:rFonts w:ascii="Arial" w:eastAsia="Arial" w:hAnsi="Arial" w:cs="Arial"/>
          <w:color w:val="000000"/>
          <w:sz w:val="20"/>
          <w:szCs w:val="20"/>
        </w:rPr>
      </w:pPr>
      <w:r>
        <w:rPr>
          <w:rFonts w:ascii="Arial" w:eastAsia="Arial" w:hAnsi="Arial" w:cs="Arial"/>
          <w:color w:val="000000"/>
          <w:sz w:val="20"/>
          <w:szCs w:val="20"/>
        </w:rPr>
        <w:t>Any variation to the Charges payable under a Call-Off Contract for Buyer Deliverables must be agreed between the Supplier and the Buyer in writing and made in accordance with Clause 24 of the Core Terms, this Schedule and Joint Schedule 2 (Variation Form and Change Control Procedure), including where:</w:t>
      </w:r>
    </w:p>
    <w:p w:rsidR="00D72414" w:rsidRDefault="00C0362E">
      <w:pPr>
        <w:pBdr>
          <w:top w:val="nil"/>
          <w:left w:val="nil"/>
          <w:bottom w:val="nil"/>
          <w:right w:val="nil"/>
          <w:between w:val="nil"/>
        </w:pBdr>
        <w:tabs>
          <w:tab w:val="left" w:pos="709"/>
          <w:tab w:val="left" w:pos="1134"/>
        </w:tabs>
        <w:spacing w:before="120" w:after="120"/>
        <w:ind w:left="1985" w:hanging="851"/>
        <w:rPr>
          <w:rFonts w:ascii="Arial" w:eastAsia="Arial" w:hAnsi="Arial" w:cs="Arial"/>
          <w:color w:val="000000"/>
          <w:sz w:val="20"/>
          <w:szCs w:val="20"/>
        </w:rPr>
      </w:pPr>
      <w:r>
        <w:rPr>
          <w:rFonts w:ascii="Arial" w:eastAsia="Arial" w:hAnsi="Arial" w:cs="Arial"/>
          <w:color w:val="000000"/>
          <w:sz w:val="20"/>
          <w:szCs w:val="20"/>
        </w:rPr>
        <w:t>1.3.1</w:t>
      </w:r>
      <w:r>
        <w:rPr>
          <w:rFonts w:ascii="Arial" w:eastAsia="Arial" w:hAnsi="Arial" w:cs="Arial"/>
          <w:color w:val="000000"/>
          <w:sz w:val="20"/>
          <w:szCs w:val="20"/>
        </w:rPr>
        <w:tab/>
        <w:t>a New Debt Type is added to the Call-Off Contract;</w:t>
      </w:r>
    </w:p>
    <w:p w:rsidR="00D72414" w:rsidRDefault="00C0362E">
      <w:pPr>
        <w:pBdr>
          <w:top w:val="nil"/>
          <w:left w:val="nil"/>
          <w:bottom w:val="nil"/>
          <w:right w:val="nil"/>
          <w:between w:val="nil"/>
        </w:pBdr>
        <w:tabs>
          <w:tab w:val="left" w:pos="709"/>
          <w:tab w:val="left" w:pos="1134"/>
        </w:tabs>
        <w:spacing w:before="120" w:after="120"/>
        <w:ind w:left="1985" w:hanging="851"/>
        <w:rPr>
          <w:rFonts w:ascii="Arial" w:eastAsia="Arial" w:hAnsi="Arial" w:cs="Arial"/>
          <w:color w:val="000000"/>
          <w:sz w:val="20"/>
          <w:szCs w:val="20"/>
        </w:rPr>
      </w:pPr>
      <w:r>
        <w:rPr>
          <w:rFonts w:ascii="Arial" w:eastAsia="Arial" w:hAnsi="Arial" w:cs="Arial"/>
          <w:color w:val="000000"/>
          <w:sz w:val="20"/>
          <w:szCs w:val="20"/>
        </w:rPr>
        <w:t>1.3.2</w:t>
      </w:r>
      <w:r>
        <w:rPr>
          <w:rFonts w:ascii="Arial" w:eastAsia="Arial" w:hAnsi="Arial" w:cs="Arial"/>
          <w:color w:val="000000"/>
          <w:sz w:val="20"/>
          <w:szCs w:val="20"/>
        </w:rPr>
        <w:tab/>
        <w:t>the Buyer identifies a change in the characteristics of a Debt Type which, in the reasonable opinion of the Buyer, shall or is likely to seriously impact the Supplier’s ability to deliver the Buyer’s Deliverables; or</w:t>
      </w:r>
    </w:p>
    <w:p w:rsidR="00D72414" w:rsidRDefault="00C0362E">
      <w:pPr>
        <w:pBdr>
          <w:top w:val="nil"/>
          <w:left w:val="nil"/>
          <w:bottom w:val="nil"/>
          <w:right w:val="nil"/>
          <w:between w:val="nil"/>
        </w:pBdr>
        <w:tabs>
          <w:tab w:val="left" w:pos="709"/>
          <w:tab w:val="left" w:pos="1134"/>
        </w:tabs>
        <w:spacing w:before="120" w:after="120"/>
        <w:ind w:left="1985" w:hanging="851"/>
        <w:rPr>
          <w:rFonts w:ascii="Arial" w:eastAsia="Arial" w:hAnsi="Arial" w:cs="Arial"/>
          <w:color w:val="000000"/>
          <w:sz w:val="20"/>
          <w:szCs w:val="20"/>
        </w:rPr>
      </w:pPr>
      <w:r>
        <w:rPr>
          <w:rFonts w:ascii="Arial" w:eastAsia="Arial" w:hAnsi="Arial" w:cs="Arial"/>
          <w:color w:val="000000"/>
          <w:sz w:val="20"/>
          <w:szCs w:val="20"/>
        </w:rPr>
        <w:t>1.3.3</w:t>
      </w:r>
      <w:r>
        <w:rPr>
          <w:rFonts w:ascii="Arial" w:eastAsia="Arial" w:hAnsi="Arial" w:cs="Arial"/>
          <w:color w:val="000000"/>
          <w:sz w:val="20"/>
          <w:szCs w:val="20"/>
        </w:rPr>
        <w:tab/>
        <w:t>the Buyer Approved a Variation that will change the way in which a Supplier delivers the Buyer’s Deliverables and the Buyer Approved a Change to the Charges in accordance with Joint Schedule 2 (Variation Form and Change Control Procedure).</w:t>
      </w:r>
    </w:p>
    <w:p w:rsidR="00D72414" w:rsidRDefault="00C0362E">
      <w:pPr>
        <w:numPr>
          <w:ilvl w:val="0"/>
          <w:numId w:val="27"/>
        </w:numPr>
        <w:pBdr>
          <w:top w:val="nil"/>
          <w:left w:val="nil"/>
          <w:bottom w:val="nil"/>
          <w:right w:val="nil"/>
          <w:between w:val="nil"/>
        </w:pBdr>
        <w:tabs>
          <w:tab w:val="left" w:pos="142"/>
        </w:tabs>
        <w:spacing w:before="120" w:after="240"/>
        <w:jc w:val="both"/>
        <w:rPr>
          <w:rFonts w:ascii="Arial" w:eastAsia="Arial" w:hAnsi="Arial" w:cs="Arial"/>
          <w:b/>
          <w:color w:val="000000"/>
          <w:sz w:val="20"/>
          <w:szCs w:val="20"/>
        </w:rPr>
      </w:pPr>
      <w:r>
        <w:rPr>
          <w:rFonts w:ascii="Arial" w:eastAsia="Arial" w:hAnsi="Arial" w:cs="Arial"/>
          <w:b/>
          <w:color w:val="000000"/>
          <w:sz w:val="20"/>
          <w:szCs w:val="20"/>
        </w:rPr>
        <w:t>How Framework Prices are calculated</w:t>
      </w:r>
    </w:p>
    <w:p w:rsidR="00D72414" w:rsidRDefault="00C0362E">
      <w:pPr>
        <w:numPr>
          <w:ilvl w:val="1"/>
          <w:numId w:val="27"/>
        </w:numPr>
        <w:pBdr>
          <w:top w:val="nil"/>
          <w:left w:val="nil"/>
          <w:bottom w:val="nil"/>
          <w:right w:val="nil"/>
          <w:between w:val="nil"/>
        </w:pBdr>
        <w:tabs>
          <w:tab w:val="left" w:pos="709"/>
          <w:tab w:val="left" w:pos="1134"/>
        </w:tabs>
        <w:spacing w:before="120" w:after="120"/>
        <w:ind w:left="1134" w:hanging="504"/>
        <w:rPr>
          <w:rFonts w:ascii="Arial" w:eastAsia="Arial" w:hAnsi="Arial" w:cs="Arial"/>
          <w:color w:val="000000"/>
          <w:sz w:val="20"/>
          <w:szCs w:val="20"/>
        </w:rPr>
      </w:pPr>
      <w:r>
        <w:rPr>
          <w:rFonts w:ascii="Arial" w:eastAsia="Arial" w:hAnsi="Arial" w:cs="Arial"/>
          <w:color w:val="000000"/>
          <w:sz w:val="20"/>
          <w:szCs w:val="20"/>
        </w:rPr>
        <w:t>The pricing mechanisms and prices set out in Part A to I and Appendix 1 shall be available for use in calculation of Charges in Call-Off Contracts.</w:t>
      </w:r>
    </w:p>
    <w:p w:rsidR="00D72414" w:rsidRDefault="00C0362E">
      <w:pPr>
        <w:numPr>
          <w:ilvl w:val="0"/>
          <w:numId w:val="27"/>
        </w:numPr>
        <w:pBdr>
          <w:top w:val="nil"/>
          <w:left w:val="nil"/>
          <w:bottom w:val="nil"/>
          <w:right w:val="nil"/>
          <w:between w:val="nil"/>
        </w:pBdr>
        <w:tabs>
          <w:tab w:val="left" w:pos="142"/>
        </w:tabs>
        <w:spacing w:before="120" w:after="240"/>
        <w:jc w:val="both"/>
        <w:rPr>
          <w:rFonts w:ascii="Arial" w:eastAsia="Arial" w:hAnsi="Arial" w:cs="Arial"/>
          <w:b/>
          <w:color w:val="000000"/>
          <w:sz w:val="20"/>
          <w:szCs w:val="20"/>
        </w:rPr>
      </w:pPr>
      <w:r>
        <w:rPr>
          <w:rFonts w:ascii="Arial" w:eastAsia="Arial" w:hAnsi="Arial" w:cs="Arial"/>
          <w:b/>
          <w:color w:val="000000"/>
          <w:sz w:val="20"/>
          <w:szCs w:val="20"/>
        </w:rPr>
        <w:t xml:space="preserve">Are costs and expenses are included in the Framework </w:t>
      </w:r>
      <w:proofErr w:type="gramStart"/>
      <w:r>
        <w:rPr>
          <w:rFonts w:ascii="Arial" w:eastAsia="Arial" w:hAnsi="Arial" w:cs="Arial"/>
          <w:b/>
          <w:color w:val="000000"/>
          <w:sz w:val="20"/>
          <w:szCs w:val="20"/>
        </w:rPr>
        <w:t>Prices</w:t>
      </w:r>
      <w:proofErr w:type="gramEnd"/>
    </w:p>
    <w:p w:rsidR="00D72414" w:rsidRDefault="00C0362E">
      <w:pPr>
        <w:numPr>
          <w:ilvl w:val="1"/>
          <w:numId w:val="27"/>
        </w:numPr>
        <w:pBdr>
          <w:top w:val="nil"/>
          <w:left w:val="nil"/>
          <w:bottom w:val="nil"/>
          <w:right w:val="nil"/>
          <w:between w:val="nil"/>
        </w:pBdr>
        <w:tabs>
          <w:tab w:val="left" w:pos="709"/>
          <w:tab w:val="left" w:pos="1134"/>
        </w:tabs>
        <w:spacing w:before="120" w:after="120"/>
        <w:ind w:left="1134" w:hanging="504"/>
        <w:rPr>
          <w:rFonts w:ascii="Arial" w:eastAsia="Arial" w:hAnsi="Arial" w:cs="Arial"/>
          <w:color w:val="000000"/>
          <w:sz w:val="20"/>
          <w:szCs w:val="20"/>
        </w:rPr>
      </w:pPr>
      <w:r>
        <w:rPr>
          <w:rFonts w:ascii="Arial" w:eastAsia="Arial" w:hAnsi="Arial" w:cs="Arial"/>
          <w:color w:val="000000"/>
          <w:sz w:val="20"/>
          <w:szCs w:val="20"/>
        </w:rPr>
        <w:t>Except as expressly set out in Paragraph 5 below, or otherwise stated in an Order Form, the Framework Prices shall include all costs and expenses relating to the provision of Deliverables. No further amounts shall be payable in respect of matters such as:</w:t>
      </w:r>
    </w:p>
    <w:p w:rsidR="00D72414" w:rsidRDefault="00C0362E">
      <w:pPr>
        <w:numPr>
          <w:ilvl w:val="2"/>
          <w:numId w:val="27"/>
        </w:numPr>
        <w:pBdr>
          <w:top w:val="nil"/>
          <w:left w:val="nil"/>
          <w:bottom w:val="nil"/>
          <w:right w:val="nil"/>
          <w:between w:val="nil"/>
        </w:pBdr>
        <w:tabs>
          <w:tab w:val="left" w:pos="1985"/>
          <w:tab w:val="left" w:pos="2127"/>
          <w:tab w:val="left" w:pos="1980"/>
        </w:tabs>
        <w:spacing w:before="120" w:after="120"/>
        <w:ind w:left="1980" w:hanging="810"/>
        <w:rPr>
          <w:rFonts w:ascii="Arial" w:eastAsia="Arial" w:hAnsi="Arial" w:cs="Arial"/>
          <w:color w:val="000000"/>
          <w:sz w:val="20"/>
          <w:szCs w:val="20"/>
        </w:rPr>
      </w:pPr>
      <w:r>
        <w:rPr>
          <w:rFonts w:ascii="Arial" w:eastAsia="Arial" w:hAnsi="Arial" w:cs="Arial"/>
          <w:color w:val="000000"/>
          <w:sz w:val="20"/>
          <w:szCs w:val="20"/>
        </w:rPr>
        <w:t>incidental expenses such as travel, subsistence and lodging, document or report reproduction, shipping, desktop or office equipment costs, network or data interchange costs or other telecommunications Charges; or</w:t>
      </w:r>
    </w:p>
    <w:p w:rsidR="00D72414" w:rsidRDefault="00C0362E">
      <w:pPr>
        <w:numPr>
          <w:ilvl w:val="2"/>
          <w:numId w:val="27"/>
        </w:numPr>
        <w:pBdr>
          <w:top w:val="nil"/>
          <w:left w:val="nil"/>
          <w:bottom w:val="nil"/>
          <w:right w:val="nil"/>
          <w:between w:val="nil"/>
        </w:pBdr>
        <w:tabs>
          <w:tab w:val="left" w:pos="1985"/>
          <w:tab w:val="left" w:pos="2127"/>
          <w:tab w:val="left" w:pos="1980"/>
        </w:tabs>
        <w:spacing w:before="120" w:after="120"/>
        <w:ind w:left="1980" w:hanging="810"/>
        <w:rPr>
          <w:rFonts w:ascii="Arial" w:eastAsia="Arial" w:hAnsi="Arial" w:cs="Arial"/>
          <w:color w:val="000000"/>
          <w:sz w:val="20"/>
          <w:szCs w:val="20"/>
        </w:rPr>
      </w:pPr>
      <w:r>
        <w:rPr>
          <w:rFonts w:ascii="Arial" w:eastAsia="Arial" w:hAnsi="Arial" w:cs="Arial"/>
          <w:color w:val="000000"/>
          <w:sz w:val="20"/>
          <w:szCs w:val="20"/>
        </w:rPr>
        <w:lastRenderedPageBreak/>
        <w:t>costs incurred prior to the commencement of any Call Off Contract.</w:t>
      </w:r>
    </w:p>
    <w:p w:rsidR="00D72414" w:rsidRDefault="00C0362E">
      <w:pPr>
        <w:numPr>
          <w:ilvl w:val="0"/>
          <w:numId w:val="27"/>
        </w:numPr>
        <w:pBdr>
          <w:top w:val="nil"/>
          <w:left w:val="nil"/>
          <w:bottom w:val="nil"/>
          <w:right w:val="nil"/>
          <w:between w:val="nil"/>
        </w:pBdr>
        <w:tabs>
          <w:tab w:val="left" w:pos="142"/>
        </w:tabs>
        <w:spacing w:before="120" w:after="240"/>
        <w:jc w:val="both"/>
        <w:rPr>
          <w:rFonts w:ascii="Arial" w:eastAsia="Arial" w:hAnsi="Arial" w:cs="Arial"/>
          <w:b/>
          <w:color w:val="000000"/>
          <w:sz w:val="20"/>
          <w:szCs w:val="20"/>
        </w:rPr>
      </w:pPr>
      <w:r>
        <w:rPr>
          <w:rFonts w:ascii="Arial" w:eastAsia="Arial" w:hAnsi="Arial" w:cs="Arial"/>
          <w:b/>
          <w:color w:val="000000"/>
          <w:sz w:val="20"/>
          <w:szCs w:val="20"/>
        </w:rPr>
        <w:t>Events that allow the Supplier to change the Framework Prices</w:t>
      </w:r>
    </w:p>
    <w:p w:rsidR="00D72414" w:rsidRDefault="00C0362E">
      <w:pPr>
        <w:numPr>
          <w:ilvl w:val="1"/>
          <w:numId w:val="27"/>
        </w:numPr>
        <w:pBdr>
          <w:top w:val="nil"/>
          <w:left w:val="nil"/>
          <w:bottom w:val="nil"/>
          <w:right w:val="nil"/>
          <w:between w:val="nil"/>
        </w:pBdr>
        <w:tabs>
          <w:tab w:val="left" w:pos="709"/>
          <w:tab w:val="left" w:pos="1134"/>
        </w:tabs>
        <w:spacing w:before="120" w:after="120"/>
        <w:ind w:left="1134" w:hanging="504"/>
        <w:rPr>
          <w:rFonts w:ascii="Arial" w:eastAsia="Arial" w:hAnsi="Arial" w:cs="Arial"/>
          <w:color w:val="000000"/>
          <w:sz w:val="20"/>
          <w:szCs w:val="20"/>
        </w:rPr>
      </w:pPr>
      <w:r>
        <w:rPr>
          <w:rFonts w:ascii="Arial" w:eastAsia="Arial" w:hAnsi="Arial" w:cs="Arial"/>
          <w:color w:val="000000"/>
          <w:sz w:val="20"/>
          <w:szCs w:val="20"/>
        </w:rPr>
        <w:t>The Framework Prices can also be varied (and Annex 1 will be updated accordingly) due to:</w:t>
      </w:r>
    </w:p>
    <w:p w:rsidR="00D72414" w:rsidRDefault="00C0362E">
      <w:pPr>
        <w:numPr>
          <w:ilvl w:val="2"/>
          <w:numId w:val="27"/>
        </w:numPr>
        <w:pBdr>
          <w:top w:val="nil"/>
          <w:left w:val="nil"/>
          <w:bottom w:val="nil"/>
          <w:right w:val="nil"/>
          <w:between w:val="nil"/>
        </w:pBdr>
        <w:tabs>
          <w:tab w:val="left" w:pos="1985"/>
          <w:tab w:val="left" w:pos="2127"/>
        </w:tabs>
        <w:spacing w:before="120" w:after="120"/>
        <w:ind w:left="1980" w:hanging="810"/>
        <w:rPr>
          <w:rFonts w:ascii="Arial" w:eastAsia="Arial" w:hAnsi="Arial" w:cs="Arial"/>
          <w:color w:val="000000"/>
          <w:sz w:val="20"/>
          <w:szCs w:val="20"/>
        </w:rPr>
      </w:pPr>
      <w:r>
        <w:rPr>
          <w:rFonts w:ascii="Arial" w:eastAsia="Arial" w:hAnsi="Arial" w:cs="Arial"/>
          <w:color w:val="000000"/>
          <w:sz w:val="20"/>
          <w:szCs w:val="20"/>
        </w:rPr>
        <w:t>a Specific Change in Law in accordance with the Variation Procedure;</w:t>
      </w:r>
    </w:p>
    <w:p w:rsidR="00D72414" w:rsidRDefault="00C0362E">
      <w:pPr>
        <w:numPr>
          <w:ilvl w:val="2"/>
          <w:numId w:val="27"/>
        </w:numPr>
        <w:pBdr>
          <w:top w:val="nil"/>
          <w:left w:val="nil"/>
          <w:bottom w:val="nil"/>
          <w:right w:val="nil"/>
          <w:between w:val="nil"/>
        </w:pBdr>
        <w:tabs>
          <w:tab w:val="left" w:pos="1985"/>
          <w:tab w:val="left" w:pos="2127"/>
        </w:tabs>
        <w:spacing w:before="120" w:after="120"/>
        <w:ind w:left="1980" w:hanging="810"/>
        <w:rPr>
          <w:rFonts w:ascii="Arial" w:eastAsia="Arial" w:hAnsi="Arial" w:cs="Arial"/>
          <w:color w:val="000000"/>
          <w:sz w:val="20"/>
          <w:szCs w:val="20"/>
        </w:rPr>
      </w:pPr>
      <w:r>
        <w:rPr>
          <w:rFonts w:ascii="Arial" w:eastAsia="Arial" w:hAnsi="Arial" w:cs="Arial"/>
          <w:color w:val="000000"/>
          <w:sz w:val="20"/>
          <w:szCs w:val="20"/>
        </w:rPr>
        <w:t xml:space="preserve">a review in accordance with insurance requirements in Clause 13 of the Core Terms; </w:t>
      </w:r>
    </w:p>
    <w:p w:rsidR="00D72414" w:rsidRDefault="00C0362E">
      <w:pPr>
        <w:numPr>
          <w:ilvl w:val="2"/>
          <w:numId w:val="27"/>
        </w:numPr>
        <w:pBdr>
          <w:top w:val="nil"/>
          <w:left w:val="nil"/>
          <w:bottom w:val="nil"/>
          <w:right w:val="nil"/>
          <w:between w:val="nil"/>
        </w:pBdr>
        <w:tabs>
          <w:tab w:val="left" w:pos="1985"/>
          <w:tab w:val="left" w:pos="2127"/>
        </w:tabs>
        <w:spacing w:before="120" w:after="120"/>
        <w:ind w:left="1980" w:hanging="810"/>
        <w:rPr>
          <w:rFonts w:ascii="Arial" w:eastAsia="Arial" w:hAnsi="Arial" w:cs="Arial"/>
          <w:color w:val="000000"/>
          <w:sz w:val="20"/>
          <w:szCs w:val="20"/>
        </w:rPr>
      </w:pPr>
      <w:r>
        <w:rPr>
          <w:rFonts w:ascii="Arial" w:eastAsia="Arial" w:hAnsi="Arial" w:cs="Arial"/>
          <w:color w:val="000000"/>
          <w:sz w:val="20"/>
          <w:szCs w:val="20"/>
        </w:rPr>
        <w:t>a request from the Supplier, which it can make at any time, to decrease the Framework Prices.</w:t>
      </w:r>
    </w:p>
    <w:p w:rsidR="00D72414" w:rsidRDefault="00C0362E">
      <w:pPr>
        <w:numPr>
          <w:ilvl w:val="0"/>
          <w:numId w:val="27"/>
        </w:numPr>
        <w:pBdr>
          <w:top w:val="nil"/>
          <w:left w:val="nil"/>
          <w:bottom w:val="nil"/>
          <w:right w:val="nil"/>
          <w:between w:val="nil"/>
        </w:pBdr>
        <w:tabs>
          <w:tab w:val="left" w:pos="142"/>
        </w:tabs>
        <w:spacing w:before="120" w:after="240"/>
        <w:jc w:val="both"/>
        <w:rPr>
          <w:rFonts w:ascii="Arial" w:eastAsia="Arial" w:hAnsi="Arial" w:cs="Arial"/>
          <w:b/>
          <w:color w:val="000000"/>
          <w:sz w:val="20"/>
          <w:szCs w:val="20"/>
        </w:rPr>
      </w:pPr>
      <w:r>
        <w:rPr>
          <w:rFonts w:ascii="Arial" w:eastAsia="Arial" w:hAnsi="Arial" w:cs="Arial"/>
          <w:b/>
          <w:color w:val="000000"/>
          <w:sz w:val="20"/>
          <w:szCs w:val="20"/>
        </w:rPr>
        <w:t>When you will be reimbursed for travel and subsistence</w:t>
      </w:r>
    </w:p>
    <w:p w:rsidR="00D72414" w:rsidRDefault="00C0362E">
      <w:pPr>
        <w:numPr>
          <w:ilvl w:val="1"/>
          <w:numId w:val="27"/>
        </w:numPr>
        <w:pBdr>
          <w:top w:val="nil"/>
          <w:left w:val="nil"/>
          <w:bottom w:val="nil"/>
          <w:right w:val="nil"/>
          <w:between w:val="nil"/>
        </w:pBdr>
        <w:tabs>
          <w:tab w:val="left" w:pos="709"/>
          <w:tab w:val="left" w:pos="1134"/>
        </w:tabs>
        <w:spacing w:before="120" w:after="120"/>
        <w:ind w:left="1134" w:hanging="504"/>
        <w:rPr>
          <w:rFonts w:ascii="Arial" w:eastAsia="Arial" w:hAnsi="Arial" w:cs="Arial"/>
          <w:color w:val="000000"/>
          <w:sz w:val="20"/>
          <w:szCs w:val="20"/>
        </w:rPr>
      </w:pPr>
      <w:r>
        <w:rPr>
          <w:rFonts w:ascii="Arial" w:eastAsia="Arial" w:hAnsi="Arial" w:cs="Arial"/>
          <w:color w:val="000000"/>
          <w:sz w:val="20"/>
          <w:szCs w:val="20"/>
        </w:rPr>
        <w:t>Expenses shall only be recoverable where:</w:t>
      </w:r>
    </w:p>
    <w:p w:rsidR="00D72414" w:rsidRDefault="00C0362E">
      <w:pPr>
        <w:numPr>
          <w:ilvl w:val="2"/>
          <w:numId w:val="27"/>
        </w:numPr>
        <w:pBdr>
          <w:top w:val="nil"/>
          <w:left w:val="nil"/>
          <w:bottom w:val="nil"/>
          <w:right w:val="nil"/>
          <w:between w:val="nil"/>
        </w:pBdr>
        <w:tabs>
          <w:tab w:val="left" w:pos="1985"/>
          <w:tab w:val="left" w:pos="2127"/>
          <w:tab w:val="left" w:pos="1980"/>
        </w:tabs>
        <w:spacing w:before="120" w:after="120"/>
        <w:ind w:left="1980" w:hanging="810"/>
        <w:rPr>
          <w:rFonts w:ascii="Arial" w:eastAsia="Arial" w:hAnsi="Arial" w:cs="Arial"/>
          <w:color w:val="000000"/>
          <w:sz w:val="20"/>
          <w:szCs w:val="20"/>
        </w:rPr>
      </w:pPr>
      <w:r>
        <w:rPr>
          <w:rFonts w:ascii="Arial" w:eastAsia="Arial" w:hAnsi="Arial" w:cs="Arial"/>
          <w:color w:val="000000"/>
          <w:sz w:val="20"/>
          <w:szCs w:val="20"/>
        </w:rPr>
        <w:t>the Order Form states that recovery is permitted; and</w:t>
      </w:r>
    </w:p>
    <w:p w:rsidR="00D72414" w:rsidRDefault="00C0362E">
      <w:pPr>
        <w:numPr>
          <w:ilvl w:val="2"/>
          <w:numId w:val="27"/>
        </w:numPr>
        <w:pBdr>
          <w:top w:val="nil"/>
          <w:left w:val="nil"/>
          <w:bottom w:val="nil"/>
          <w:right w:val="nil"/>
          <w:between w:val="nil"/>
        </w:pBdr>
        <w:tabs>
          <w:tab w:val="left" w:pos="1985"/>
          <w:tab w:val="left" w:pos="2127"/>
          <w:tab w:val="left" w:pos="1980"/>
        </w:tabs>
        <w:spacing w:before="120" w:after="120"/>
        <w:ind w:left="1980" w:hanging="810"/>
        <w:rPr>
          <w:rFonts w:ascii="Arial" w:eastAsia="Arial" w:hAnsi="Arial" w:cs="Arial"/>
          <w:color w:val="000000"/>
          <w:sz w:val="20"/>
          <w:szCs w:val="20"/>
        </w:rPr>
      </w:pPr>
      <w:r>
        <w:rPr>
          <w:rFonts w:ascii="Arial" w:eastAsia="Arial" w:hAnsi="Arial" w:cs="Arial"/>
          <w:color w:val="000000"/>
          <w:sz w:val="20"/>
          <w:szCs w:val="20"/>
        </w:rPr>
        <w:t>they are Reimbursable Expenses and are supported by Supporting Documentation.</w:t>
      </w:r>
    </w:p>
    <w:p w:rsidR="00D72414" w:rsidRDefault="00C0362E">
      <w:pPr>
        <w:numPr>
          <w:ilvl w:val="1"/>
          <w:numId w:val="27"/>
        </w:numPr>
        <w:pBdr>
          <w:top w:val="nil"/>
          <w:left w:val="nil"/>
          <w:bottom w:val="nil"/>
          <w:right w:val="nil"/>
          <w:between w:val="nil"/>
        </w:pBdr>
        <w:tabs>
          <w:tab w:val="left" w:pos="709"/>
          <w:tab w:val="left" w:pos="1134"/>
        </w:tabs>
        <w:spacing w:before="120" w:after="120"/>
        <w:ind w:left="1134" w:hanging="504"/>
        <w:rPr>
          <w:rFonts w:ascii="Arial" w:eastAsia="Arial" w:hAnsi="Arial" w:cs="Arial"/>
          <w:color w:val="000000"/>
          <w:sz w:val="20"/>
          <w:szCs w:val="20"/>
        </w:rPr>
      </w:pPr>
      <w:r>
        <w:rPr>
          <w:rFonts w:ascii="Arial" w:eastAsia="Arial" w:hAnsi="Arial" w:cs="Arial"/>
          <w:color w:val="000000"/>
          <w:sz w:val="20"/>
          <w:szCs w:val="20"/>
        </w:rPr>
        <w:t xml:space="preserve">The Buyer shall provide a copy of their current expenses policy to the Supplier upon request. </w:t>
      </w:r>
    </w:p>
    <w:p w:rsidR="00D72414" w:rsidRDefault="00D72414">
      <w:pPr>
        <w:rPr>
          <w:rFonts w:ascii="Arial" w:eastAsia="Arial" w:hAnsi="Arial" w:cs="Arial"/>
        </w:rPr>
      </w:pPr>
      <w:bookmarkStart w:id="1" w:name="_heading=h.30j0zll" w:colFirst="0" w:colLast="0"/>
      <w:bookmarkEnd w:id="1"/>
    </w:p>
    <w:p w:rsidR="00D72414" w:rsidRDefault="00D72414">
      <w:pPr>
        <w:rPr>
          <w:rFonts w:ascii="Arial" w:eastAsia="Arial" w:hAnsi="Arial" w:cs="Arial"/>
        </w:rPr>
      </w:pPr>
    </w:p>
    <w:p w:rsidR="00D72414" w:rsidRDefault="00C0362E">
      <w:pPr>
        <w:rPr>
          <w:rFonts w:ascii="Arial" w:eastAsia="Arial" w:hAnsi="Arial" w:cs="Arial"/>
          <w:b/>
        </w:rPr>
      </w:pPr>
      <w:r>
        <w:rPr>
          <w:rFonts w:ascii="Arial" w:eastAsia="Arial" w:hAnsi="Arial" w:cs="Arial"/>
          <w:b/>
        </w:rPr>
        <w:t>PART A</w:t>
      </w:r>
    </w:p>
    <w:p w:rsidR="00D72414" w:rsidRDefault="00D72414">
      <w:pPr>
        <w:pBdr>
          <w:top w:val="nil"/>
          <w:left w:val="nil"/>
          <w:bottom w:val="nil"/>
          <w:right w:val="nil"/>
          <w:between w:val="nil"/>
        </w:pBdr>
        <w:ind w:left="794"/>
        <w:rPr>
          <w:rFonts w:ascii="Arial" w:eastAsia="Arial" w:hAnsi="Arial" w:cs="Arial"/>
          <w:color w:val="000000"/>
          <w:sz w:val="20"/>
          <w:szCs w:val="20"/>
        </w:rPr>
      </w:pPr>
    </w:p>
    <w:p w:rsidR="00D72414" w:rsidRDefault="00C0362E">
      <w:pPr>
        <w:numPr>
          <w:ilvl w:val="0"/>
          <w:numId w:val="26"/>
        </w:numPr>
        <w:pBdr>
          <w:top w:val="nil"/>
          <w:left w:val="nil"/>
          <w:bottom w:val="nil"/>
          <w:right w:val="nil"/>
          <w:between w:val="nil"/>
        </w:pBdr>
        <w:rPr>
          <w:rFonts w:ascii="Arial" w:eastAsia="Arial" w:hAnsi="Arial" w:cs="Arial"/>
          <w:color w:val="000000"/>
          <w:sz w:val="20"/>
          <w:szCs w:val="20"/>
          <w:u w:val="single"/>
        </w:rPr>
      </w:pPr>
      <w:r>
        <w:rPr>
          <w:rFonts w:ascii="Arial" w:eastAsia="Arial" w:hAnsi="Arial" w:cs="Arial"/>
          <w:b/>
          <w:color w:val="000000"/>
          <w:u w:val="single"/>
        </w:rPr>
        <w:t>Part A: Pricing Conditions</w:t>
      </w:r>
    </w:p>
    <w:p w:rsidR="00D72414" w:rsidRDefault="00D72414">
      <w:pPr>
        <w:pBdr>
          <w:top w:val="nil"/>
          <w:left w:val="nil"/>
          <w:bottom w:val="nil"/>
          <w:right w:val="nil"/>
          <w:between w:val="nil"/>
        </w:pBdr>
        <w:ind w:left="360" w:hanging="720"/>
        <w:rPr>
          <w:rFonts w:ascii="Arial" w:eastAsia="Arial" w:hAnsi="Arial" w:cs="Arial"/>
          <w:color w:val="000000"/>
          <w:sz w:val="20"/>
          <w:szCs w:val="20"/>
        </w:rPr>
      </w:pPr>
    </w:p>
    <w:p w:rsidR="00D72414" w:rsidRDefault="00C0362E">
      <w:pPr>
        <w:numPr>
          <w:ilvl w:val="1"/>
          <w:numId w:val="26"/>
        </w:numPr>
        <w:pBdr>
          <w:top w:val="nil"/>
          <w:left w:val="nil"/>
          <w:bottom w:val="nil"/>
          <w:right w:val="nil"/>
          <w:between w:val="nil"/>
        </w:pBdr>
        <w:jc w:val="both"/>
        <w:rPr>
          <w:rFonts w:ascii="Arial" w:eastAsia="Arial" w:hAnsi="Arial" w:cs="Arial"/>
          <w:color w:val="000000"/>
          <w:sz w:val="20"/>
          <w:szCs w:val="20"/>
        </w:rPr>
      </w:pPr>
      <w:bookmarkStart w:id="2" w:name="_heading=h.3whwml4" w:colFirst="0" w:colLast="0"/>
      <w:bookmarkEnd w:id="2"/>
      <w:r>
        <w:rPr>
          <w:rFonts w:ascii="Arial" w:eastAsia="Arial" w:hAnsi="Arial" w:cs="Arial"/>
          <w:color w:val="000000"/>
          <w:sz w:val="20"/>
          <w:szCs w:val="20"/>
        </w:rPr>
        <w:t xml:space="preserve">The Framework Prices set out in Parts B to I and Appendix 1 of this Framework Schedule 3 are subject to Paragraphs 1 to 3 (“Pricing Conditions” (URN 1.0 to URN 20.0)).  These pricing conditions are distinct and apply to each Lot of Services which are identified in this Schedule by use of “URNs”.  The description of each of the Services that the Supplier shall deliver to the Buyer for the Prices set-out in this Schedule (under each URN) is set out in Framework Schedule 1 (Specification).  </w:t>
      </w:r>
    </w:p>
    <w:p w:rsidR="00D72414" w:rsidRDefault="00C0362E">
      <w:pPr>
        <w:pBdr>
          <w:top w:val="nil"/>
          <w:left w:val="nil"/>
          <w:bottom w:val="nil"/>
          <w:right w:val="nil"/>
          <w:between w:val="nil"/>
        </w:pBdr>
        <w:ind w:left="794"/>
        <w:jc w:val="both"/>
        <w:rPr>
          <w:rFonts w:ascii="Arial" w:eastAsia="Arial" w:hAnsi="Arial" w:cs="Arial"/>
          <w:color w:val="000000"/>
          <w:sz w:val="20"/>
          <w:szCs w:val="20"/>
        </w:rPr>
      </w:pPr>
      <w:r>
        <w:rPr>
          <w:rFonts w:ascii="Arial" w:eastAsia="Arial" w:hAnsi="Arial" w:cs="Arial"/>
          <w:color w:val="000000"/>
          <w:sz w:val="20"/>
          <w:szCs w:val="20"/>
        </w:rPr>
        <w:t xml:space="preserve"> </w:t>
      </w:r>
    </w:p>
    <w:p w:rsidR="00D72414" w:rsidRDefault="00C0362E">
      <w:pPr>
        <w:numPr>
          <w:ilvl w:val="1"/>
          <w:numId w:val="2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Under Lot 1 (Managed Collection Services), where a Service is already being provided under the Call-Off Contract and the Buyer identifies:</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3"/>
          <w:numId w:val="2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 New Debt Type, or </w:t>
      </w:r>
    </w:p>
    <w:p w:rsidR="00D72414" w:rsidRDefault="00C0362E">
      <w:pPr>
        <w:numPr>
          <w:ilvl w:val="3"/>
          <w:numId w:val="2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there is a change to an existing Debt Type,</w:t>
      </w:r>
    </w:p>
    <w:p w:rsidR="00D72414" w:rsidRDefault="00D72414">
      <w:pPr>
        <w:pBdr>
          <w:top w:val="nil"/>
          <w:left w:val="nil"/>
          <w:bottom w:val="nil"/>
          <w:right w:val="nil"/>
          <w:between w:val="nil"/>
        </w:pBdr>
        <w:ind w:left="794"/>
        <w:jc w:val="both"/>
        <w:rPr>
          <w:rFonts w:ascii="Arial" w:eastAsia="Arial" w:hAnsi="Arial" w:cs="Arial"/>
          <w:sz w:val="20"/>
          <w:szCs w:val="20"/>
        </w:rPr>
      </w:pPr>
    </w:p>
    <w:p w:rsidR="00D72414" w:rsidRDefault="00C0362E">
      <w:pPr>
        <w:pBdr>
          <w:top w:val="nil"/>
          <w:left w:val="nil"/>
          <w:bottom w:val="nil"/>
          <w:right w:val="nil"/>
          <w:between w:val="nil"/>
        </w:pBdr>
        <w:ind w:left="794"/>
        <w:jc w:val="both"/>
        <w:rPr>
          <w:rFonts w:ascii="Arial" w:eastAsia="Arial" w:hAnsi="Arial" w:cs="Arial"/>
          <w:sz w:val="20"/>
          <w:szCs w:val="20"/>
        </w:rPr>
      </w:pPr>
      <w:r>
        <w:rPr>
          <w:rFonts w:ascii="Arial" w:eastAsia="Arial" w:hAnsi="Arial" w:cs="Arial"/>
          <w:sz w:val="20"/>
          <w:szCs w:val="20"/>
        </w:rPr>
        <w:t xml:space="preserve">the Buyer and Supplier may agree to change the Call-Off Contract Charges in relation to the existing Debt Type or agree a new Charge for the New Debt Type, in accordance with the Variation Procedure. </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1"/>
          <w:numId w:val="2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Where Paragraph 1.2 (above) applies, the Supplier shall notify CCS in writing of the outcome.</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1"/>
          <w:numId w:val="2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All Charges and Reimbursable Expenses invoiced by the Supplier, shall be invoiced to the Buyer transparently and on an Open Book Costs basis.</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1"/>
          <w:numId w:val="2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Suppliers may provide the Buyer with prices lower than its Framework Prices only when pricing a Service as part of Further Competition Procedure in accordance with Framework Schedule 7 (Call-Off Award Procedure). </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1"/>
          <w:numId w:val="2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 Buyer may Order Optional Services identified in Framework Schedule 1 (Specification) and whose Framework Prices are set out under Optional Pricing in Part C Annex 1, Part D Annex 1 and Part G Paragraph 1.2 (below). </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0"/>
          <w:numId w:val="2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Set-Up Charge</w:t>
      </w:r>
    </w:p>
    <w:p w:rsidR="00D72414" w:rsidRDefault="00C0362E">
      <w:pPr>
        <w:pBdr>
          <w:top w:val="nil"/>
          <w:left w:val="nil"/>
          <w:bottom w:val="nil"/>
          <w:right w:val="nil"/>
          <w:between w:val="nil"/>
        </w:pBdr>
        <w:ind w:left="794"/>
        <w:jc w:val="both"/>
        <w:rPr>
          <w:rFonts w:ascii="Arial" w:eastAsia="Arial" w:hAnsi="Arial" w:cs="Arial"/>
          <w:b/>
          <w:color w:val="000000"/>
          <w:sz w:val="20"/>
          <w:szCs w:val="20"/>
        </w:rPr>
      </w:pPr>
      <w:r>
        <w:rPr>
          <w:rFonts w:ascii="Arial" w:eastAsia="Arial" w:hAnsi="Arial" w:cs="Arial"/>
          <w:b/>
          <w:color w:val="000000"/>
          <w:sz w:val="20"/>
          <w:szCs w:val="20"/>
        </w:rPr>
        <w:t xml:space="preserve">  </w:t>
      </w:r>
    </w:p>
    <w:p w:rsidR="00D72414" w:rsidRDefault="00C0362E">
      <w:pPr>
        <w:numPr>
          <w:ilvl w:val="1"/>
          <w:numId w:val="2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cost for establishing the Service supplied by the Supplier shall be included within the Framework Prices, unless specified otherwise by the Buyer, in writing. For the avoidance of doubt, any Buyer who makes a direct award of a Call-Off Contract shall not pay any Set-Up Charge to the Supplier.  . All Set-Up Costs shall form part of the Charges for the Services provided under the Call-Off Contract and this will be visible as an amortised investment cost within the Contract Report. </w:t>
      </w:r>
    </w:p>
    <w:p w:rsidR="00D72414" w:rsidRDefault="00D72414">
      <w:pPr>
        <w:pBdr>
          <w:top w:val="nil"/>
          <w:left w:val="nil"/>
          <w:bottom w:val="nil"/>
          <w:right w:val="nil"/>
          <w:between w:val="nil"/>
        </w:pBdr>
        <w:ind w:left="794"/>
        <w:jc w:val="both"/>
        <w:rPr>
          <w:rFonts w:ascii="Arial" w:eastAsia="Arial" w:hAnsi="Arial" w:cs="Arial"/>
          <w:color w:val="FF0000"/>
          <w:sz w:val="20"/>
          <w:szCs w:val="20"/>
        </w:rPr>
      </w:pPr>
    </w:p>
    <w:p w:rsidR="00D72414" w:rsidRDefault="00C0362E">
      <w:pPr>
        <w:numPr>
          <w:ilvl w:val="1"/>
          <w:numId w:val="2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Where the Buyer believes Framework Prices do not cover a particular infrastructure or configuration requirement  that it needs the Supplier to provide (i.e. where the infrastructure or configuration requirement does not exist prior to the execution of the Call-Off Contract), the Buyer may request in writing that the Supplier provide a Quotation for Set-Up Charges (set out in Appendix 1 rate card) in the form of an Impact Assessment with timescales agreed with Buyer, prior to the Call-Off Contract being signed by the Parties.</w:t>
      </w:r>
    </w:p>
    <w:p w:rsidR="00D72414" w:rsidRDefault="00D72414">
      <w:pPr>
        <w:pBdr>
          <w:top w:val="nil"/>
          <w:left w:val="nil"/>
          <w:bottom w:val="nil"/>
          <w:right w:val="nil"/>
          <w:between w:val="nil"/>
        </w:pBdr>
        <w:ind w:left="720"/>
        <w:rPr>
          <w:rFonts w:ascii="Calibri" w:eastAsia="Calibri" w:hAnsi="Calibri" w:cs="Calibri"/>
          <w:color w:val="000000"/>
          <w:sz w:val="22"/>
          <w:szCs w:val="22"/>
        </w:rPr>
      </w:pPr>
    </w:p>
    <w:p w:rsidR="00D72414" w:rsidRDefault="00C0362E">
      <w:pPr>
        <w:numPr>
          <w:ilvl w:val="1"/>
          <w:numId w:val="2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The Charges set out in Paragraph 2.2 shall be a one-off payment made by the Buyer to the Supplier on a Time and Materials basis covering all costs. </w:t>
      </w:r>
    </w:p>
    <w:p w:rsidR="00D72414" w:rsidRDefault="00D72414">
      <w:pPr>
        <w:pBdr>
          <w:top w:val="nil"/>
          <w:left w:val="nil"/>
          <w:bottom w:val="nil"/>
          <w:right w:val="nil"/>
          <w:between w:val="nil"/>
        </w:pBdr>
        <w:ind w:left="720"/>
        <w:rPr>
          <w:rFonts w:ascii="Calibri" w:eastAsia="Calibri" w:hAnsi="Calibri" w:cs="Calibri"/>
          <w:color w:val="000000"/>
          <w:sz w:val="22"/>
          <w:szCs w:val="22"/>
        </w:rPr>
      </w:pPr>
    </w:p>
    <w:p w:rsidR="00D72414" w:rsidRDefault="00C0362E">
      <w:pPr>
        <w:numPr>
          <w:ilvl w:val="1"/>
          <w:numId w:val="26"/>
        </w:num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 xml:space="preserve">The categories of Framework Prices as set out in Appendix 1 are based on the Skills Framework for the Information Age.  Details about each of the categories and levels can be found at </w:t>
      </w:r>
      <w:hyperlink r:id="rId9">
        <w:r>
          <w:rPr>
            <w:rFonts w:ascii="Calibri" w:eastAsia="Calibri" w:hAnsi="Calibri" w:cs="Calibri"/>
            <w:color w:val="0000FF"/>
            <w:sz w:val="22"/>
            <w:szCs w:val="22"/>
            <w:u w:val="single"/>
          </w:rPr>
          <w:t>https://sfia-online.org/en/sfia-7/all-skills-a-z</w:t>
        </w:r>
      </w:hyperlink>
      <w:r>
        <w:rPr>
          <w:rFonts w:ascii="Calibri" w:eastAsia="Calibri" w:hAnsi="Calibri" w:cs="Calibri"/>
          <w:color w:val="0000FF"/>
          <w:sz w:val="22"/>
          <w:szCs w:val="22"/>
          <w:u w:val="single"/>
        </w:rPr>
        <w:t xml:space="preserve"> . </w:t>
      </w:r>
      <w:r>
        <w:rPr>
          <w:rFonts w:ascii="Calibri" w:eastAsia="Calibri" w:hAnsi="Calibri" w:cs="Calibri"/>
          <w:color w:val="000000"/>
          <w:sz w:val="22"/>
          <w:szCs w:val="22"/>
        </w:rPr>
        <w:t xml:space="preserve">CCS may update the categories and levels from time to time by serving written notice on the Supplier. </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1"/>
          <w:numId w:val="26"/>
        </w:num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The Supplier and CCS may include additional categories, subcategories and skills to the Framework Pricing set out in this Schedule at Appendix 1.  All such additional categories, subcategories and skills shall be included in accordance with the Variation Procedure.</w:t>
      </w:r>
    </w:p>
    <w:p w:rsidR="00D72414" w:rsidRDefault="00D72414">
      <w:pPr>
        <w:rPr>
          <w:rFonts w:ascii="Arial" w:eastAsia="Arial" w:hAnsi="Arial" w:cs="Arial"/>
          <w:sz w:val="20"/>
          <w:szCs w:val="20"/>
        </w:rPr>
      </w:pPr>
    </w:p>
    <w:p w:rsidR="00D72414" w:rsidRDefault="00C0362E">
      <w:pPr>
        <w:numPr>
          <w:ilvl w:val="1"/>
          <w:numId w:val="26"/>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½ Day Rates are based on working within the United Kingdom and Northern Ireland.</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1"/>
          <w:numId w:val="2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cannot Charge the Buyer nor is the Buyer liable for: </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0"/>
          <w:numId w:val="1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Any Quotation or Impact Assessment; </w:t>
      </w:r>
    </w:p>
    <w:p w:rsidR="00D72414" w:rsidRDefault="00C0362E">
      <w:pPr>
        <w:pStyle w:val="Heading3"/>
        <w:numPr>
          <w:ilvl w:val="0"/>
          <w:numId w:val="17"/>
        </w:numPr>
        <w:spacing w:line="259" w:lineRule="auto"/>
        <w:rPr>
          <w:rFonts w:ascii="Arial" w:eastAsia="Arial" w:hAnsi="Arial" w:cs="Arial"/>
          <w:color w:val="000000"/>
          <w:sz w:val="20"/>
          <w:szCs w:val="20"/>
        </w:rPr>
      </w:pPr>
      <w:r>
        <w:rPr>
          <w:rFonts w:ascii="Arial" w:eastAsia="Arial" w:hAnsi="Arial" w:cs="Arial"/>
          <w:color w:val="000000"/>
          <w:sz w:val="20"/>
          <w:szCs w:val="20"/>
        </w:rPr>
        <w:lastRenderedPageBreak/>
        <w:t xml:space="preserve">any Change Costs where the Supplier can deliver set-up using current resources in the provision of the Service </w:t>
      </w:r>
    </w:p>
    <w:p w:rsidR="00D72414" w:rsidRDefault="00C0362E">
      <w:pPr>
        <w:pStyle w:val="Heading3"/>
        <w:numPr>
          <w:ilvl w:val="0"/>
          <w:numId w:val="17"/>
        </w:numPr>
        <w:spacing w:line="259" w:lineRule="auto"/>
        <w:rPr>
          <w:rFonts w:ascii="Arial" w:eastAsia="Arial" w:hAnsi="Arial" w:cs="Arial"/>
          <w:color w:val="000000"/>
          <w:sz w:val="20"/>
          <w:szCs w:val="20"/>
        </w:rPr>
      </w:pPr>
      <w:r>
        <w:rPr>
          <w:rFonts w:ascii="Arial" w:eastAsia="Arial" w:hAnsi="Arial" w:cs="Arial"/>
          <w:color w:val="000000"/>
          <w:sz w:val="20"/>
          <w:szCs w:val="20"/>
        </w:rPr>
        <w:t xml:space="preserve">Costs exceeding those agreed by the Buyer which fall within the cost range detailed in the Quotation or Impact Assessment; and/or </w:t>
      </w:r>
    </w:p>
    <w:p w:rsidR="00D72414" w:rsidRDefault="00C0362E">
      <w:pPr>
        <w:pStyle w:val="Heading3"/>
        <w:numPr>
          <w:ilvl w:val="0"/>
          <w:numId w:val="17"/>
        </w:numPr>
        <w:spacing w:line="259" w:lineRule="auto"/>
        <w:rPr>
          <w:rFonts w:ascii="Arial" w:eastAsia="Arial" w:hAnsi="Arial" w:cs="Arial"/>
          <w:color w:val="000000"/>
          <w:sz w:val="20"/>
          <w:szCs w:val="20"/>
        </w:rPr>
      </w:pPr>
      <w:r>
        <w:rPr>
          <w:rFonts w:ascii="Arial" w:eastAsia="Arial" w:hAnsi="Arial" w:cs="Arial"/>
          <w:color w:val="000000"/>
          <w:sz w:val="20"/>
          <w:szCs w:val="20"/>
        </w:rPr>
        <w:t>Costs relating to anything resulting from an error or Default of the Supplier or any Subcontractor.</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1"/>
          <w:numId w:val="2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only submit an invoice for the Charges, associated with a change, when a Buyer has agreed in writing that the change and what has been successfully delivered, as Approved by the Buyer within the Change Implementation Plan and in accordance with the Variation Form.</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pBdr>
          <w:top w:val="nil"/>
          <w:left w:val="nil"/>
          <w:bottom w:val="nil"/>
          <w:right w:val="nil"/>
          <w:between w:val="nil"/>
        </w:pBdr>
        <w:ind w:left="794"/>
        <w:jc w:val="both"/>
        <w:rPr>
          <w:rFonts w:ascii="Arial" w:eastAsia="Arial" w:hAnsi="Arial" w:cs="Arial"/>
          <w:color w:val="000000"/>
          <w:sz w:val="20"/>
          <w:szCs w:val="20"/>
        </w:rPr>
      </w:pPr>
      <w:r>
        <w:rPr>
          <w:rFonts w:ascii="Arial" w:eastAsia="Arial" w:hAnsi="Arial" w:cs="Arial"/>
          <w:b/>
          <w:color w:val="000000"/>
          <w:sz w:val="20"/>
          <w:szCs w:val="20"/>
        </w:rPr>
        <w:t>Change Charge</w:t>
      </w:r>
      <w:r>
        <w:rPr>
          <w:rFonts w:ascii="Arial" w:eastAsia="Arial" w:hAnsi="Arial" w:cs="Arial"/>
          <w:color w:val="000000"/>
          <w:sz w:val="20"/>
          <w:szCs w:val="20"/>
        </w:rPr>
        <w:t xml:space="preserve"> </w:t>
      </w:r>
    </w:p>
    <w:p w:rsidR="00D72414" w:rsidRDefault="00D72414">
      <w:pPr>
        <w:pBdr>
          <w:top w:val="nil"/>
          <w:left w:val="nil"/>
          <w:bottom w:val="nil"/>
          <w:right w:val="nil"/>
          <w:between w:val="nil"/>
        </w:pBdr>
        <w:ind w:left="794"/>
        <w:jc w:val="both"/>
        <w:rPr>
          <w:rFonts w:ascii="Arial" w:eastAsia="Arial" w:hAnsi="Arial" w:cs="Arial"/>
          <w:color w:val="000000"/>
          <w:sz w:val="20"/>
          <w:szCs w:val="20"/>
          <w:u w:val="single"/>
        </w:rPr>
      </w:pPr>
    </w:p>
    <w:p w:rsidR="00D72414" w:rsidRDefault="00C0362E">
      <w:pPr>
        <w:numPr>
          <w:ilvl w:val="0"/>
          <w:numId w:val="2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Any Contract changes that have been agreed by the Buyer through Variation Procedure / Change Control Procedure (as appropriate), which incur a Charge which the Supplier seeks to Charge the Buyer for, shall be charged on a Time and Materials basis using the rate card at Appendix 1 to this Schedule.</w:t>
      </w:r>
    </w:p>
    <w:p w:rsidR="00D72414" w:rsidRDefault="00C0362E">
      <w:pPr>
        <w:pBdr>
          <w:top w:val="nil"/>
          <w:left w:val="nil"/>
          <w:bottom w:val="nil"/>
          <w:right w:val="nil"/>
          <w:between w:val="nil"/>
        </w:pBdr>
        <w:ind w:left="794"/>
        <w:jc w:val="both"/>
        <w:rPr>
          <w:rFonts w:ascii="Arial" w:eastAsia="Arial" w:hAnsi="Arial" w:cs="Arial"/>
          <w:color w:val="000000"/>
          <w:sz w:val="20"/>
          <w:szCs w:val="20"/>
        </w:rPr>
      </w:pPr>
      <w:r>
        <w:rPr>
          <w:rFonts w:ascii="Arial" w:eastAsia="Arial" w:hAnsi="Arial" w:cs="Arial"/>
          <w:color w:val="000000"/>
          <w:sz w:val="20"/>
          <w:szCs w:val="20"/>
        </w:rPr>
        <w:t xml:space="preserve"> </w:t>
      </w:r>
    </w:p>
    <w:p w:rsidR="00D72414" w:rsidRDefault="00C0362E">
      <w:pPr>
        <w:numPr>
          <w:ilvl w:val="1"/>
          <w:numId w:val="2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When preparing or responding to an Impact Assessment, the Supplier shall provide an estimated cost range that only includes all allowable costs relating to the proposed change. The Supplier shall invoice the Buyer for those costs where they are within the cost range provided as part of the Impact Assessment.</w:t>
      </w:r>
    </w:p>
    <w:p w:rsidR="00D72414" w:rsidRDefault="00C0362E">
      <w:pPr>
        <w:pBdr>
          <w:top w:val="nil"/>
          <w:left w:val="nil"/>
          <w:bottom w:val="nil"/>
          <w:right w:val="nil"/>
          <w:between w:val="nil"/>
        </w:pBdr>
        <w:ind w:left="794"/>
        <w:jc w:val="both"/>
        <w:rPr>
          <w:rFonts w:ascii="Arial" w:eastAsia="Arial" w:hAnsi="Arial" w:cs="Arial"/>
          <w:color w:val="000000"/>
          <w:sz w:val="20"/>
          <w:szCs w:val="20"/>
        </w:rPr>
      </w:pPr>
      <w:r>
        <w:rPr>
          <w:rFonts w:ascii="Arial" w:eastAsia="Arial" w:hAnsi="Arial" w:cs="Arial"/>
          <w:color w:val="000000"/>
          <w:sz w:val="20"/>
          <w:szCs w:val="20"/>
        </w:rPr>
        <w:t xml:space="preserve"> </w:t>
      </w:r>
    </w:p>
    <w:p w:rsidR="00D72414" w:rsidRDefault="00C0362E">
      <w:pPr>
        <w:numPr>
          <w:ilvl w:val="1"/>
          <w:numId w:val="2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cannot Charge the Buyer nor is the Buyer liable for: </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0"/>
          <w:numId w:val="1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Any Impact Assessment; </w:t>
      </w:r>
    </w:p>
    <w:p w:rsidR="00D72414" w:rsidRDefault="00C0362E">
      <w:pPr>
        <w:pStyle w:val="Heading3"/>
        <w:numPr>
          <w:ilvl w:val="0"/>
          <w:numId w:val="17"/>
        </w:numPr>
        <w:spacing w:line="259" w:lineRule="auto"/>
        <w:rPr>
          <w:rFonts w:ascii="Arial" w:eastAsia="Arial" w:hAnsi="Arial" w:cs="Arial"/>
          <w:color w:val="000000"/>
          <w:sz w:val="20"/>
          <w:szCs w:val="20"/>
        </w:rPr>
      </w:pPr>
      <w:r>
        <w:rPr>
          <w:rFonts w:ascii="Arial" w:eastAsia="Arial" w:hAnsi="Arial" w:cs="Arial"/>
          <w:color w:val="000000"/>
          <w:sz w:val="20"/>
          <w:szCs w:val="20"/>
        </w:rPr>
        <w:t>any Variation where the Supplier can deliver the change using current resources in the provision of the Service (e.g. where the Supplier cannot supply the Buyer with satisfaction evidence);</w:t>
      </w:r>
    </w:p>
    <w:p w:rsidR="00D72414" w:rsidRDefault="00C0362E">
      <w:pPr>
        <w:pStyle w:val="Heading3"/>
        <w:numPr>
          <w:ilvl w:val="0"/>
          <w:numId w:val="17"/>
        </w:numPr>
        <w:spacing w:line="259" w:lineRule="auto"/>
        <w:rPr>
          <w:rFonts w:ascii="Arial" w:eastAsia="Arial" w:hAnsi="Arial" w:cs="Arial"/>
          <w:color w:val="000000"/>
          <w:sz w:val="20"/>
          <w:szCs w:val="20"/>
        </w:rPr>
      </w:pPr>
      <w:r>
        <w:rPr>
          <w:rFonts w:ascii="Arial" w:eastAsia="Arial" w:hAnsi="Arial" w:cs="Arial"/>
          <w:color w:val="000000"/>
          <w:sz w:val="20"/>
          <w:szCs w:val="20"/>
        </w:rPr>
        <w:t xml:space="preserve">Costs exceeding those agreed by the Buyer which fall within the cost range detailed in the Impact Assessment; and/or </w:t>
      </w:r>
    </w:p>
    <w:p w:rsidR="00D72414" w:rsidRDefault="00C0362E">
      <w:pPr>
        <w:pStyle w:val="Heading3"/>
        <w:numPr>
          <w:ilvl w:val="0"/>
          <w:numId w:val="17"/>
        </w:numPr>
        <w:spacing w:line="259" w:lineRule="auto"/>
        <w:rPr>
          <w:rFonts w:ascii="Arial" w:eastAsia="Arial" w:hAnsi="Arial" w:cs="Arial"/>
          <w:color w:val="000000"/>
          <w:sz w:val="20"/>
          <w:szCs w:val="20"/>
        </w:rPr>
      </w:pPr>
      <w:r>
        <w:rPr>
          <w:rFonts w:ascii="Arial" w:eastAsia="Arial" w:hAnsi="Arial" w:cs="Arial"/>
          <w:color w:val="000000"/>
          <w:sz w:val="20"/>
          <w:szCs w:val="20"/>
        </w:rPr>
        <w:t>Costs relating to anything resulting from an error or Default of the Supplier or any Subcontractor.</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1"/>
          <w:numId w:val="2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only submit an invoice for the Charges, associated with a change, when a Buyer has agreed in writing that the change and what has been successfully delivered, as Approved by the Buyer within the Change Implementation Plan and in accordance with the Variation Form.</w:t>
      </w:r>
    </w:p>
    <w:p w:rsidR="00D72414" w:rsidRDefault="00D72414">
      <w:pPr>
        <w:pBdr>
          <w:top w:val="nil"/>
          <w:left w:val="nil"/>
          <w:bottom w:val="nil"/>
          <w:right w:val="nil"/>
          <w:between w:val="nil"/>
        </w:pBdr>
        <w:ind w:left="794"/>
        <w:jc w:val="both"/>
        <w:rPr>
          <w:rFonts w:ascii="Arial" w:eastAsia="Arial" w:hAnsi="Arial" w:cs="Arial"/>
          <w:color w:val="000000"/>
          <w:sz w:val="16"/>
          <w:szCs w:val="16"/>
        </w:rPr>
      </w:pPr>
    </w:p>
    <w:p w:rsidR="00D72414" w:rsidRDefault="00C0362E">
      <w:pPr>
        <w:numPr>
          <w:ilvl w:val="1"/>
          <w:numId w:val="26"/>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The Framework Prices are based on the Skills Framework for the Information Age. Details about each of the categories and levels can be found at </w:t>
      </w:r>
      <w:hyperlink r:id="rId10">
        <w:r>
          <w:rPr>
            <w:color w:val="0000FF"/>
            <w:u w:val="single"/>
          </w:rPr>
          <w:t>https://sfia-online.org/en/sfia-7/all-skills-a-z</w:t>
        </w:r>
      </w:hyperlink>
      <w:r>
        <w:rPr>
          <w:color w:val="0000FF"/>
          <w:u w:val="single"/>
        </w:rPr>
        <w:t xml:space="preserve">. </w:t>
      </w:r>
      <w:r>
        <w:rPr>
          <w:rFonts w:ascii="Arial" w:eastAsia="Arial" w:hAnsi="Arial" w:cs="Arial"/>
          <w:color w:val="000000"/>
          <w:sz w:val="20"/>
          <w:szCs w:val="20"/>
        </w:rPr>
        <w:t>CCS may update the categories and levels from time to time by serving written notice on the Supplier.</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1"/>
          <w:numId w:val="26"/>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Supplier and CCS may include additional categories, subcategories and skills to the Framework Prices set out in this Schedule 3. All such additional categories, subcategories and skills shall be included in accordance with Clause 24 of the Core Terms of this Contract.</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1"/>
          <w:numId w:val="26"/>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½ Day Rates are based on working within the United Kingdom and Northern Ireland.</w:t>
      </w:r>
    </w:p>
    <w:p w:rsidR="00D72414" w:rsidRDefault="00D72414">
      <w:pPr>
        <w:pBdr>
          <w:top w:val="nil"/>
          <w:left w:val="nil"/>
          <w:bottom w:val="nil"/>
          <w:right w:val="nil"/>
          <w:between w:val="nil"/>
        </w:pBdr>
        <w:jc w:val="both"/>
        <w:rPr>
          <w:rFonts w:ascii="Arial" w:eastAsia="Arial" w:hAnsi="Arial" w:cs="Arial"/>
          <w:color w:val="000000"/>
          <w:sz w:val="20"/>
          <w:szCs w:val="20"/>
        </w:rPr>
      </w:pPr>
    </w:p>
    <w:p w:rsidR="00D72414" w:rsidRDefault="00D72414">
      <w:pPr>
        <w:pBdr>
          <w:top w:val="nil"/>
          <w:left w:val="nil"/>
          <w:bottom w:val="nil"/>
          <w:right w:val="nil"/>
          <w:between w:val="nil"/>
        </w:pBdr>
        <w:jc w:val="both"/>
        <w:rPr>
          <w:rFonts w:ascii="Arial" w:eastAsia="Arial" w:hAnsi="Arial" w:cs="Arial"/>
          <w:color w:val="000000"/>
          <w:sz w:val="20"/>
          <w:szCs w:val="20"/>
        </w:rPr>
      </w:pPr>
    </w:p>
    <w:p w:rsidR="00D72414" w:rsidRDefault="00D72414">
      <w:pPr>
        <w:pBdr>
          <w:top w:val="nil"/>
          <w:left w:val="nil"/>
          <w:bottom w:val="nil"/>
          <w:right w:val="nil"/>
          <w:between w:val="nil"/>
        </w:pBdr>
        <w:jc w:val="both"/>
        <w:rPr>
          <w:rFonts w:ascii="Arial" w:eastAsia="Arial" w:hAnsi="Arial" w:cs="Arial"/>
          <w:color w:val="000000"/>
          <w:sz w:val="20"/>
          <w:szCs w:val="20"/>
        </w:rPr>
      </w:pPr>
    </w:p>
    <w:p w:rsidR="00D72414" w:rsidRDefault="00C0362E">
      <w:p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PART B</w:t>
      </w:r>
    </w:p>
    <w:p w:rsidR="00D72414" w:rsidRDefault="00D72414">
      <w:pPr>
        <w:pBdr>
          <w:top w:val="nil"/>
          <w:left w:val="nil"/>
          <w:bottom w:val="nil"/>
          <w:right w:val="nil"/>
          <w:between w:val="nil"/>
        </w:pBdr>
        <w:jc w:val="both"/>
        <w:rPr>
          <w:rFonts w:ascii="Arial" w:eastAsia="Arial" w:hAnsi="Arial" w:cs="Arial"/>
          <w:color w:val="000000"/>
          <w:sz w:val="20"/>
          <w:szCs w:val="20"/>
        </w:rPr>
      </w:pPr>
    </w:p>
    <w:p w:rsidR="00D72414" w:rsidRDefault="00C0362E">
      <w:pPr>
        <w:numPr>
          <w:ilvl w:val="0"/>
          <w:numId w:val="13"/>
        </w:numPr>
        <w:pBdr>
          <w:top w:val="nil"/>
          <w:left w:val="nil"/>
          <w:bottom w:val="nil"/>
          <w:right w:val="nil"/>
          <w:between w:val="nil"/>
        </w:pBdr>
        <w:rPr>
          <w:rFonts w:ascii="Arial" w:eastAsia="Arial" w:hAnsi="Arial" w:cs="Arial"/>
          <w:b/>
          <w:color w:val="000000"/>
          <w:u w:val="single"/>
        </w:rPr>
      </w:pPr>
      <w:r>
        <w:rPr>
          <w:rFonts w:ascii="Arial" w:eastAsia="Arial" w:hAnsi="Arial" w:cs="Arial"/>
          <w:b/>
          <w:color w:val="000000"/>
          <w:u w:val="single"/>
        </w:rPr>
        <w:t>Part B: Managed Collections Services</w:t>
      </w:r>
    </w:p>
    <w:p w:rsidR="00D72414" w:rsidRDefault="00D72414">
      <w:pPr>
        <w:pBdr>
          <w:top w:val="nil"/>
          <w:left w:val="nil"/>
          <w:bottom w:val="nil"/>
          <w:right w:val="nil"/>
          <w:between w:val="nil"/>
        </w:pBdr>
        <w:ind w:left="360"/>
        <w:rPr>
          <w:rFonts w:ascii="Arial" w:eastAsia="Arial" w:hAnsi="Arial" w:cs="Arial"/>
          <w:b/>
          <w:color w:val="000000"/>
          <w:u w:val="single"/>
        </w:rPr>
      </w:pPr>
    </w:p>
    <w:p w:rsidR="00D72414" w:rsidRDefault="00C0362E">
      <w:pPr>
        <w:numPr>
          <w:ilvl w:val="1"/>
          <w:numId w:val="13"/>
        </w:numPr>
        <w:pBdr>
          <w:top w:val="nil"/>
          <w:left w:val="nil"/>
          <w:bottom w:val="nil"/>
          <w:right w:val="nil"/>
          <w:between w:val="nil"/>
        </w:pBdr>
        <w:rPr>
          <w:rFonts w:ascii="Arial" w:eastAsia="Arial" w:hAnsi="Arial" w:cs="Arial"/>
          <w:b/>
          <w:color w:val="000000"/>
          <w:u w:val="single"/>
        </w:rPr>
      </w:pPr>
      <w:r>
        <w:rPr>
          <w:rFonts w:ascii="Arial" w:eastAsia="Arial" w:hAnsi="Arial" w:cs="Arial"/>
          <w:b/>
          <w:color w:val="000000"/>
          <w:sz w:val="20"/>
          <w:szCs w:val="20"/>
        </w:rPr>
        <w:t>Service URN 1.0a - Managed Collections Services</w:t>
      </w:r>
    </w:p>
    <w:p w:rsidR="00D72414" w:rsidRDefault="00C0362E">
      <w:pPr>
        <w:pBdr>
          <w:top w:val="nil"/>
          <w:left w:val="nil"/>
          <w:bottom w:val="nil"/>
          <w:right w:val="nil"/>
          <w:between w:val="nil"/>
        </w:pBdr>
        <w:ind w:left="360"/>
        <w:rPr>
          <w:rFonts w:ascii="Arial" w:eastAsia="Arial" w:hAnsi="Arial" w:cs="Arial"/>
          <w:b/>
          <w:color w:val="000000"/>
          <w:u w:val="single"/>
        </w:rPr>
      </w:pPr>
      <w:r>
        <w:rPr>
          <w:rFonts w:ascii="Arial" w:eastAsia="Arial" w:hAnsi="Arial" w:cs="Arial"/>
          <w:b/>
          <w:color w:val="000000"/>
          <w:sz w:val="20"/>
          <w:szCs w:val="20"/>
        </w:rPr>
        <w:t xml:space="preserve"> </w:t>
      </w:r>
    </w:p>
    <w:p w:rsidR="00D72414" w:rsidRDefault="00C0362E">
      <w:pPr>
        <w:numPr>
          <w:ilvl w:val="1"/>
          <w:numId w:val="13"/>
        </w:numPr>
        <w:pBdr>
          <w:top w:val="nil"/>
          <w:left w:val="nil"/>
          <w:bottom w:val="nil"/>
          <w:right w:val="nil"/>
          <w:between w:val="nil"/>
        </w:pBdr>
        <w:rPr>
          <w:rFonts w:ascii="Arial" w:eastAsia="Arial" w:hAnsi="Arial" w:cs="Arial"/>
          <w:b/>
          <w:color w:val="000000"/>
          <w:u w:val="single"/>
        </w:rPr>
      </w:pPr>
      <w:r>
        <w:rPr>
          <w:rFonts w:ascii="Arial" w:eastAsia="Arial" w:hAnsi="Arial" w:cs="Arial"/>
          <w:color w:val="000000"/>
          <w:sz w:val="20"/>
          <w:szCs w:val="20"/>
        </w:rPr>
        <w:t>The Monthly Charges for this Service shall be divided into two categories:</w:t>
      </w:r>
    </w:p>
    <w:p w:rsidR="00D72414" w:rsidRDefault="00D72414">
      <w:pPr>
        <w:pBdr>
          <w:top w:val="nil"/>
          <w:left w:val="nil"/>
          <w:bottom w:val="nil"/>
          <w:right w:val="nil"/>
          <w:between w:val="nil"/>
        </w:pBdr>
        <w:ind w:left="720"/>
        <w:rPr>
          <w:color w:val="000000"/>
        </w:rPr>
      </w:pPr>
    </w:p>
    <w:p w:rsidR="00D72414" w:rsidRDefault="00C0362E">
      <w:pPr>
        <w:numPr>
          <w:ilvl w:val="4"/>
          <w:numId w:val="26"/>
        </w:numPr>
        <w:pBdr>
          <w:top w:val="nil"/>
          <w:left w:val="nil"/>
          <w:bottom w:val="nil"/>
          <w:right w:val="nil"/>
          <w:between w:val="nil"/>
        </w:pBdr>
        <w:ind w:left="1701"/>
      </w:pPr>
      <w:r>
        <w:rPr>
          <w:rFonts w:ascii="Arial" w:eastAsia="Arial" w:hAnsi="Arial" w:cs="Arial"/>
          <w:b/>
          <w:color w:val="000000"/>
          <w:sz w:val="20"/>
          <w:szCs w:val="20"/>
        </w:rPr>
        <w:t>Service</w:t>
      </w:r>
      <w:r>
        <w:rPr>
          <w:rFonts w:ascii="Arial" w:eastAsia="Arial" w:hAnsi="Arial" w:cs="Arial"/>
          <w:color w:val="000000"/>
          <w:sz w:val="20"/>
          <w:szCs w:val="20"/>
        </w:rPr>
        <w:t xml:space="preserve"> </w:t>
      </w:r>
      <w:r>
        <w:rPr>
          <w:rFonts w:ascii="Arial" w:eastAsia="Arial" w:hAnsi="Arial" w:cs="Arial"/>
          <w:b/>
          <w:color w:val="000000"/>
          <w:sz w:val="20"/>
          <w:szCs w:val="20"/>
        </w:rPr>
        <w:t>Management Fee</w:t>
      </w:r>
      <w:r>
        <w:rPr>
          <w:rFonts w:ascii="Arial" w:eastAsia="Arial" w:hAnsi="Arial" w:cs="Arial"/>
          <w:color w:val="000000"/>
          <w:sz w:val="20"/>
          <w:szCs w:val="20"/>
        </w:rPr>
        <w:t xml:space="preserve"> calculated in accordance with Paragraph 1.3 below; and</w:t>
      </w:r>
    </w:p>
    <w:p w:rsidR="00D72414" w:rsidRDefault="00C0362E">
      <w:pPr>
        <w:numPr>
          <w:ilvl w:val="4"/>
          <w:numId w:val="26"/>
        </w:numPr>
        <w:pBdr>
          <w:top w:val="nil"/>
          <w:left w:val="nil"/>
          <w:bottom w:val="nil"/>
          <w:right w:val="nil"/>
          <w:between w:val="nil"/>
        </w:pBdr>
        <w:ind w:left="1701"/>
      </w:pPr>
      <w:r>
        <w:rPr>
          <w:rFonts w:ascii="Arial" w:eastAsia="Arial" w:hAnsi="Arial" w:cs="Arial"/>
          <w:b/>
          <w:color w:val="000000"/>
          <w:sz w:val="20"/>
          <w:szCs w:val="20"/>
        </w:rPr>
        <w:t>DCA Commission Charge</w:t>
      </w:r>
      <w:r>
        <w:rPr>
          <w:rFonts w:ascii="Arial" w:eastAsia="Arial" w:hAnsi="Arial" w:cs="Arial"/>
          <w:color w:val="000000"/>
          <w:sz w:val="20"/>
          <w:szCs w:val="20"/>
        </w:rPr>
        <w:t xml:space="preserve"> calculated in accordance with Paragraph 1.4 below</w:t>
      </w:r>
      <w:r>
        <w:rPr>
          <w:rFonts w:ascii="Arial" w:eastAsia="Arial" w:hAnsi="Arial" w:cs="Arial"/>
          <w:b/>
          <w:color w:val="000000"/>
          <w:sz w:val="20"/>
          <w:szCs w:val="20"/>
        </w:rPr>
        <w:t>.</w:t>
      </w:r>
    </w:p>
    <w:p w:rsidR="00D72414" w:rsidRDefault="00D72414">
      <w:pPr>
        <w:pBdr>
          <w:top w:val="nil"/>
          <w:left w:val="nil"/>
          <w:bottom w:val="nil"/>
          <w:right w:val="nil"/>
          <w:between w:val="nil"/>
        </w:pBdr>
        <w:ind w:left="2381"/>
      </w:pPr>
    </w:p>
    <w:p w:rsidR="00D72414" w:rsidRDefault="00C0362E">
      <w:pPr>
        <w:numPr>
          <w:ilvl w:val="1"/>
          <w:numId w:val="13"/>
        </w:numPr>
        <w:pBdr>
          <w:top w:val="nil"/>
          <w:left w:val="nil"/>
          <w:bottom w:val="nil"/>
          <w:right w:val="nil"/>
          <w:between w:val="nil"/>
        </w:pBdr>
      </w:pPr>
      <w:r>
        <w:rPr>
          <w:rFonts w:ascii="Arial" w:eastAsia="Arial" w:hAnsi="Arial" w:cs="Arial"/>
          <w:color w:val="000000"/>
          <w:sz w:val="20"/>
          <w:szCs w:val="20"/>
        </w:rPr>
        <w:t xml:space="preserve">The Charges payable for the </w:t>
      </w:r>
      <w:r>
        <w:rPr>
          <w:rFonts w:ascii="Arial" w:eastAsia="Arial" w:hAnsi="Arial" w:cs="Arial"/>
          <w:b/>
          <w:color w:val="000000"/>
          <w:sz w:val="20"/>
          <w:szCs w:val="20"/>
        </w:rPr>
        <w:t>Service Management Fee</w:t>
      </w:r>
      <w:r>
        <w:rPr>
          <w:rFonts w:ascii="Arial" w:eastAsia="Arial" w:hAnsi="Arial" w:cs="Arial"/>
          <w:color w:val="000000"/>
          <w:sz w:val="20"/>
          <w:szCs w:val="20"/>
        </w:rPr>
        <w:t xml:space="preserve"> shall be </w:t>
      </w:r>
      <w:r>
        <w:rPr>
          <w:rFonts w:ascii="Arial" w:eastAsia="Arial" w:hAnsi="Arial" w:cs="Arial"/>
          <w:b/>
          <w:color w:val="000000"/>
          <w:sz w:val="20"/>
          <w:szCs w:val="20"/>
        </w:rPr>
        <w:t>C = A*B</w:t>
      </w:r>
      <w:r>
        <w:rPr>
          <w:rFonts w:ascii="Arial" w:eastAsia="Arial" w:hAnsi="Arial" w:cs="Arial"/>
          <w:color w:val="000000"/>
          <w:sz w:val="20"/>
          <w:szCs w:val="20"/>
        </w:rPr>
        <w:t xml:space="preserve"> where;</w:t>
      </w:r>
    </w:p>
    <w:p w:rsidR="00D72414" w:rsidRDefault="00D72414">
      <w:pPr>
        <w:pBdr>
          <w:top w:val="nil"/>
          <w:left w:val="nil"/>
          <w:bottom w:val="nil"/>
          <w:right w:val="nil"/>
          <w:between w:val="nil"/>
        </w:pBdr>
        <w:ind w:left="2381" w:hanging="794"/>
        <w:jc w:val="both"/>
        <w:rPr>
          <w:rFonts w:ascii="Arial" w:eastAsia="Arial" w:hAnsi="Arial" w:cs="Arial"/>
          <w:sz w:val="20"/>
          <w:szCs w:val="20"/>
        </w:rPr>
      </w:pPr>
    </w:p>
    <w:p w:rsidR="00D72414" w:rsidRDefault="00C0362E">
      <w:pPr>
        <w:numPr>
          <w:ilvl w:val="0"/>
          <w:numId w:val="1"/>
        </w:numPr>
        <w:pBdr>
          <w:top w:val="nil"/>
          <w:left w:val="nil"/>
          <w:bottom w:val="nil"/>
          <w:right w:val="nil"/>
          <w:between w:val="nil"/>
        </w:pBdr>
        <w:spacing w:before="240"/>
        <w:ind w:left="1701"/>
        <w:jc w:val="both"/>
        <w:rPr>
          <w:rFonts w:ascii="Arial" w:eastAsia="Arial" w:hAnsi="Arial" w:cs="Arial"/>
          <w:sz w:val="20"/>
          <w:szCs w:val="20"/>
        </w:rPr>
      </w:pPr>
      <w:r>
        <w:rPr>
          <w:rFonts w:ascii="Arial" w:eastAsia="Arial" w:hAnsi="Arial" w:cs="Arial"/>
          <w:sz w:val="20"/>
          <w:szCs w:val="20"/>
        </w:rPr>
        <w:t>Gross value £ of Debt collected and Paid-Over within the Service Delivery Month</w:t>
      </w:r>
    </w:p>
    <w:p w:rsidR="00D72414" w:rsidRDefault="00C0362E">
      <w:pPr>
        <w:numPr>
          <w:ilvl w:val="0"/>
          <w:numId w:val="1"/>
        </w:numPr>
        <w:pBdr>
          <w:top w:val="nil"/>
          <w:left w:val="nil"/>
          <w:bottom w:val="nil"/>
          <w:right w:val="nil"/>
          <w:between w:val="nil"/>
        </w:pBdr>
        <w:spacing w:before="240"/>
        <w:ind w:left="1701"/>
        <w:jc w:val="both"/>
        <w:rPr>
          <w:rFonts w:ascii="Arial" w:eastAsia="Arial" w:hAnsi="Arial" w:cs="Arial"/>
          <w:sz w:val="20"/>
          <w:szCs w:val="20"/>
        </w:rPr>
      </w:pPr>
      <w:r>
        <w:rPr>
          <w:rFonts w:ascii="Arial" w:eastAsia="Arial" w:hAnsi="Arial" w:cs="Arial"/>
          <w:sz w:val="20"/>
          <w:szCs w:val="20"/>
        </w:rPr>
        <w:t>The Service Management Fee % charge (as per Section1 of Annex 1 of this Schedule)</w:t>
      </w:r>
    </w:p>
    <w:p w:rsidR="00D72414" w:rsidRDefault="00C0362E">
      <w:pPr>
        <w:numPr>
          <w:ilvl w:val="0"/>
          <w:numId w:val="1"/>
        </w:numPr>
        <w:pBdr>
          <w:top w:val="nil"/>
          <w:left w:val="nil"/>
          <w:bottom w:val="nil"/>
          <w:right w:val="nil"/>
          <w:between w:val="nil"/>
        </w:pBdr>
        <w:spacing w:before="240"/>
        <w:ind w:left="1701"/>
        <w:jc w:val="both"/>
        <w:rPr>
          <w:rFonts w:ascii="Arial" w:eastAsia="Arial" w:hAnsi="Arial" w:cs="Arial"/>
          <w:sz w:val="20"/>
          <w:szCs w:val="20"/>
        </w:rPr>
      </w:pPr>
      <w:r>
        <w:rPr>
          <w:rFonts w:ascii="Arial" w:eastAsia="Arial" w:hAnsi="Arial" w:cs="Arial"/>
          <w:sz w:val="20"/>
          <w:szCs w:val="20"/>
        </w:rPr>
        <w:t>The Monthly Charges payable for the Service Management Fee</w:t>
      </w:r>
    </w:p>
    <w:p w:rsidR="00D72414" w:rsidRDefault="00D72414">
      <w:pPr>
        <w:pBdr>
          <w:top w:val="nil"/>
          <w:left w:val="nil"/>
          <w:bottom w:val="nil"/>
          <w:right w:val="nil"/>
          <w:between w:val="nil"/>
        </w:pBdr>
        <w:spacing w:before="240"/>
        <w:jc w:val="both"/>
        <w:rPr>
          <w:rFonts w:ascii="Arial" w:eastAsia="Arial" w:hAnsi="Arial" w:cs="Arial"/>
          <w:sz w:val="20"/>
          <w:szCs w:val="20"/>
        </w:rPr>
      </w:pPr>
    </w:p>
    <w:p w:rsidR="00D72414" w:rsidRDefault="00C0362E">
      <w:pPr>
        <w:numPr>
          <w:ilvl w:val="1"/>
          <w:numId w:val="13"/>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 xml:space="preserve">The Charges payable to each DCA Subcontractor for the </w:t>
      </w:r>
      <w:r>
        <w:rPr>
          <w:rFonts w:ascii="Arial" w:eastAsia="Arial" w:hAnsi="Arial" w:cs="Arial"/>
          <w:b/>
          <w:sz w:val="20"/>
          <w:szCs w:val="20"/>
        </w:rPr>
        <w:t>Commission Charge</w:t>
      </w:r>
      <w:r>
        <w:rPr>
          <w:rFonts w:ascii="Arial" w:eastAsia="Arial" w:hAnsi="Arial" w:cs="Arial"/>
          <w:sz w:val="20"/>
          <w:szCs w:val="20"/>
        </w:rPr>
        <w:t xml:space="preserve"> shall be </w:t>
      </w:r>
      <w:r>
        <w:rPr>
          <w:rFonts w:ascii="Arial" w:eastAsia="Arial" w:hAnsi="Arial" w:cs="Arial"/>
          <w:b/>
          <w:sz w:val="20"/>
          <w:szCs w:val="20"/>
        </w:rPr>
        <w:t>C = A*B</w:t>
      </w:r>
      <w:r>
        <w:rPr>
          <w:rFonts w:ascii="Arial" w:eastAsia="Arial" w:hAnsi="Arial" w:cs="Arial"/>
          <w:sz w:val="20"/>
          <w:szCs w:val="20"/>
        </w:rPr>
        <w:t xml:space="preserve"> where;</w:t>
      </w:r>
    </w:p>
    <w:p w:rsidR="00D72414" w:rsidRDefault="00C0362E">
      <w:pPr>
        <w:numPr>
          <w:ilvl w:val="0"/>
          <w:numId w:val="2"/>
        </w:numPr>
        <w:pBdr>
          <w:top w:val="nil"/>
          <w:left w:val="nil"/>
          <w:bottom w:val="nil"/>
          <w:right w:val="nil"/>
          <w:between w:val="nil"/>
        </w:pBdr>
        <w:spacing w:before="240"/>
        <w:ind w:left="1701"/>
        <w:jc w:val="both"/>
        <w:rPr>
          <w:rFonts w:ascii="Arial" w:eastAsia="Arial" w:hAnsi="Arial" w:cs="Arial"/>
          <w:sz w:val="20"/>
          <w:szCs w:val="20"/>
        </w:rPr>
      </w:pPr>
      <w:r>
        <w:rPr>
          <w:rFonts w:ascii="Arial" w:eastAsia="Arial" w:hAnsi="Arial" w:cs="Arial"/>
          <w:sz w:val="20"/>
          <w:szCs w:val="20"/>
        </w:rPr>
        <w:t>Gross £ value of Debt collected and Paid-Over  within the Service Delivery Month</w:t>
      </w:r>
    </w:p>
    <w:p w:rsidR="00D72414" w:rsidRDefault="00C0362E">
      <w:pPr>
        <w:numPr>
          <w:ilvl w:val="0"/>
          <w:numId w:val="2"/>
        </w:numPr>
        <w:pBdr>
          <w:top w:val="nil"/>
          <w:left w:val="nil"/>
          <w:bottom w:val="nil"/>
          <w:right w:val="nil"/>
          <w:between w:val="nil"/>
        </w:pBdr>
        <w:spacing w:before="240"/>
        <w:ind w:left="1701"/>
        <w:jc w:val="both"/>
        <w:rPr>
          <w:rFonts w:ascii="Arial" w:eastAsia="Arial" w:hAnsi="Arial" w:cs="Arial"/>
          <w:sz w:val="20"/>
          <w:szCs w:val="20"/>
        </w:rPr>
      </w:pPr>
      <w:r>
        <w:rPr>
          <w:rFonts w:ascii="Arial" w:eastAsia="Arial" w:hAnsi="Arial" w:cs="Arial"/>
          <w:sz w:val="20"/>
          <w:szCs w:val="20"/>
        </w:rPr>
        <w:t>The allowable DCA Subcontractor % Commission Charge (as per Section1 of Annex 1 of this Schedule)</w:t>
      </w:r>
    </w:p>
    <w:p w:rsidR="00D72414" w:rsidRDefault="00C0362E">
      <w:pPr>
        <w:numPr>
          <w:ilvl w:val="0"/>
          <w:numId w:val="2"/>
        </w:numPr>
        <w:pBdr>
          <w:top w:val="nil"/>
          <w:left w:val="nil"/>
          <w:bottom w:val="nil"/>
          <w:right w:val="nil"/>
          <w:between w:val="nil"/>
        </w:pBdr>
        <w:spacing w:before="240"/>
        <w:ind w:left="1701"/>
        <w:jc w:val="both"/>
        <w:rPr>
          <w:rFonts w:ascii="Arial" w:eastAsia="Arial" w:hAnsi="Arial" w:cs="Arial"/>
          <w:sz w:val="20"/>
          <w:szCs w:val="20"/>
        </w:rPr>
      </w:pPr>
      <w:r>
        <w:rPr>
          <w:rFonts w:ascii="Arial" w:eastAsia="Arial" w:hAnsi="Arial" w:cs="Arial"/>
          <w:sz w:val="20"/>
          <w:szCs w:val="20"/>
        </w:rPr>
        <w:t>The Monthly Charges payable for the allowable DCA Commission Charge</w:t>
      </w:r>
    </w:p>
    <w:p w:rsidR="00D72414" w:rsidRDefault="00C0362E">
      <w:pPr>
        <w:numPr>
          <w:ilvl w:val="1"/>
          <w:numId w:val="13"/>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 xml:space="preserve">The Service Management Fee covers all activity relating to the management of the Account, throughout the time the Account is with the Supplier including management of payment plans throughout the duration of the period the payment plan is in effect. </w:t>
      </w:r>
    </w:p>
    <w:p w:rsidR="00D72414" w:rsidRDefault="00C0362E">
      <w:pPr>
        <w:numPr>
          <w:ilvl w:val="1"/>
          <w:numId w:val="13"/>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The Service Management Fee shall be the same regardless of Debt Type placed by the Buyer with the Managed Service Provider (MSP).</w:t>
      </w:r>
    </w:p>
    <w:p w:rsidR="00D72414" w:rsidRDefault="00C0362E">
      <w:pPr>
        <w:numPr>
          <w:ilvl w:val="1"/>
          <w:numId w:val="13"/>
        </w:numPr>
        <w:pBdr>
          <w:top w:val="nil"/>
          <w:left w:val="nil"/>
          <w:bottom w:val="nil"/>
          <w:right w:val="nil"/>
          <w:between w:val="nil"/>
        </w:pBdr>
        <w:spacing w:before="240"/>
        <w:jc w:val="both"/>
      </w:pPr>
      <w:r>
        <w:rPr>
          <w:rFonts w:ascii="Arial" w:eastAsia="Arial" w:hAnsi="Arial" w:cs="Arial"/>
          <w:color w:val="000000"/>
          <w:sz w:val="20"/>
          <w:szCs w:val="20"/>
        </w:rPr>
        <w:lastRenderedPageBreak/>
        <w:t>The DCA Subcontractor Allowable Commission Charge is categorised as a Variable Percentage, representing the Commission rates which inform the cumulative Commission paid or owed by the Supplier to DCA Subcontractors in consideration of the DCA Subcontractors collecting Debts for and on behalf of the Buyer (“</w:t>
      </w:r>
      <w:r>
        <w:rPr>
          <w:rFonts w:ascii="Arial" w:eastAsia="Arial" w:hAnsi="Arial" w:cs="Arial"/>
          <w:b/>
          <w:color w:val="000000"/>
          <w:sz w:val="20"/>
          <w:szCs w:val="20"/>
        </w:rPr>
        <w:t>Commission Charge</w:t>
      </w:r>
      <w:r>
        <w:rPr>
          <w:rFonts w:ascii="Arial" w:eastAsia="Arial" w:hAnsi="Arial" w:cs="Arial"/>
          <w:color w:val="000000"/>
          <w:sz w:val="20"/>
          <w:szCs w:val="20"/>
        </w:rPr>
        <w:t>”) within the Commission Cap as described in Paragraph 3 below.</w:t>
      </w:r>
    </w:p>
    <w:p w:rsidR="00D72414" w:rsidRDefault="00C0362E">
      <w:pPr>
        <w:numPr>
          <w:ilvl w:val="1"/>
          <w:numId w:val="13"/>
        </w:numPr>
        <w:pBdr>
          <w:top w:val="nil"/>
          <w:left w:val="nil"/>
          <w:bottom w:val="nil"/>
          <w:right w:val="nil"/>
          <w:between w:val="nil"/>
        </w:pBdr>
        <w:spacing w:before="240"/>
        <w:jc w:val="both"/>
      </w:pPr>
      <w:r>
        <w:rPr>
          <w:rFonts w:ascii="Arial" w:eastAsia="Arial" w:hAnsi="Arial" w:cs="Arial"/>
          <w:sz w:val="20"/>
          <w:szCs w:val="20"/>
        </w:rPr>
        <w:t>For the avoidance of doubt, if the Supplier directly collects Debt then the Charges payable for the Debt Collection will be the same as those for a DCA Subcontractor had it collected the Debt and Paragraph 1.4 above shall apply to the calculation of the applicable Charges for that Service.</w:t>
      </w:r>
    </w:p>
    <w:p w:rsidR="00D72414" w:rsidRDefault="00C0362E">
      <w:pPr>
        <w:numPr>
          <w:ilvl w:val="1"/>
          <w:numId w:val="13"/>
        </w:numPr>
        <w:pBdr>
          <w:top w:val="nil"/>
          <w:left w:val="nil"/>
          <w:bottom w:val="nil"/>
          <w:right w:val="nil"/>
          <w:between w:val="nil"/>
        </w:pBdr>
        <w:spacing w:before="240"/>
        <w:jc w:val="both"/>
      </w:pPr>
      <w:r>
        <w:rPr>
          <w:rFonts w:ascii="Arial" w:eastAsia="Arial" w:hAnsi="Arial" w:cs="Arial"/>
          <w:sz w:val="20"/>
          <w:szCs w:val="20"/>
        </w:rPr>
        <w:t xml:space="preserve">The Supplier shall provide 2 different sets of </w:t>
      </w:r>
      <w:r>
        <w:rPr>
          <w:rFonts w:ascii="Arial" w:eastAsia="Arial" w:hAnsi="Arial" w:cs="Arial"/>
          <w:b/>
          <w:sz w:val="20"/>
          <w:szCs w:val="20"/>
        </w:rPr>
        <w:t>Managed Service Fees</w:t>
      </w:r>
      <w:r>
        <w:rPr>
          <w:rFonts w:ascii="Arial" w:eastAsia="Arial" w:hAnsi="Arial" w:cs="Arial"/>
          <w:sz w:val="20"/>
          <w:szCs w:val="20"/>
        </w:rPr>
        <w:t xml:space="preserve"> for all Buyers named in this Schedule except HMRC, as per Section 1 of Annex 1 to this Schedule to reflect the following circumstances:</w:t>
      </w:r>
    </w:p>
    <w:p w:rsidR="00D72414" w:rsidRDefault="00C0362E">
      <w:pPr>
        <w:pBdr>
          <w:top w:val="nil"/>
          <w:left w:val="nil"/>
          <w:bottom w:val="nil"/>
          <w:right w:val="nil"/>
          <w:between w:val="nil"/>
        </w:pBdr>
        <w:spacing w:before="240"/>
        <w:ind w:left="360" w:firstLine="720"/>
        <w:jc w:val="both"/>
        <w:rPr>
          <w:rFonts w:ascii="Arial" w:eastAsia="Arial" w:hAnsi="Arial" w:cs="Arial"/>
          <w:sz w:val="20"/>
          <w:szCs w:val="20"/>
        </w:rPr>
      </w:pPr>
      <w:r>
        <w:rPr>
          <w:rFonts w:ascii="Arial" w:eastAsia="Arial" w:hAnsi="Arial" w:cs="Arial"/>
          <w:sz w:val="20"/>
          <w:szCs w:val="20"/>
        </w:rPr>
        <w:t xml:space="preserve">a) The Supplier is delivering the Service to HMRC and the Buyer; and </w:t>
      </w:r>
    </w:p>
    <w:p w:rsidR="00D72414" w:rsidRDefault="00C0362E">
      <w:pPr>
        <w:pBdr>
          <w:top w:val="nil"/>
          <w:left w:val="nil"/>
          <w:bottom w:val="nil"/>
          <w:right w:val="nil"/>
          <w:between w:val="nil"/>
        </w:pBdr>
        <w:spacing w:before="240"/>
        <w:ind w:left="360" w:firstLine="720"/>
        <w:jc w:val="both"/>
        <w:rPr>
          <w:rFonts w:ascii="Arial" w:eastAsia="Arial" w:hAnsi="Arial" w:cs="Arial"/>
          <w:sz w:val="20"/>
          <w:szCs w:val="20"/>
        </w:rPr>
      </w:pPr>
      <w:r>
        <w:rPr>
          <w:rFonts w:ascii="Arial" w:eastAsia="Arial" w:hAnsi="Arial" w:cs="Arial"/>
          <w:sz w:val="20"/>
          <w:szCs w:val="20"/>
        </w:rPr>
        <w:t>b) The Supplier is delivering the Service to the Buyer, but not delivering the Service to HMRC.</w:t>
      </w:r>
    </w:p>
    <w:p w:rsidR="00D72414" w:rsidRDefault="00C0362E">
      <w:pPr>
        <w:numPr>
          <w:ilvl w:val="1"/>
          <w:numId w:val="13"/>
        </w:numPr>
        <w:pBdr>
          <w:top w:val="nil"/>
          <w:left w:val="nil"/>
          <w:bottom w:val="nil"/>
          <w:right w:val="nil"/>
          <w:between w:val="nil"/>
        </w:pBdr>
        <w:spacing w:before="240"/>
        <w:ind w:left="426" w:hanging="426"/>
        <w:jc w:val="both"/>
        <w:rPr>
          <w:rFonts w:ascii="Arial" w:eastAsia="Arial" w:hAnsi="Arial" w:cs="Arial"/>
          <w:sz w:val="20"/>
          <w:szCs w:val="20"/>
        </w:rPr>
      </w:pPr>
      <w:r>
        <w:rPr>
          <w:rFonts w:ascii="Arial" w:eastAsia="Arial" w:hAnsi="Arial" w:cs="Arial"/>
          <w:sz w:val="20"/>
          <w:szCs w:val="20"/>
        </w:rPr>
        <w:t>The Service Management Fee relating to Paragraph 1.9(a) above must not be greater than the Service Management Fee set out in Paragraph 1.9(b) above.</w:t>
      </w:r>
    </w:p>
    <w:p w:rsidR="00D72414" w:rsidRDefault="00C0362E">
      <w:pPr>
        <w:numPr>
          <w:ilvl w:val="1"/>
          <w:numId w:val="13"/>
        </w:numPr>
        <w:pBdr>
          <w:top w:val="nil"/>
          <w:left w:val="nil"/>
          <w:bottom w:val="nil"/>
          <w:right w:val="nil"/>
          <w:between w:val="nil"/>
        </w:pBdr>
        <w:spacing w:before="240"/>
        <w:ind w:left="426" w:hanging="426"/>
        <w:jc w:val="both"/>
        <w:rPr>
          <w:rFonts w:ascii="Arial" w:eastAsia="Arial" w:hAnsi="Arial" w:cs="Arial"/>
          <w:color w:val="FF0000"/>
          <w:sz w:val="20"/>
          <w:szCs w:val="20"/>
        </w:rPr>
      </w:pPr>
      <w:r>
        <w:rPr>
          <w:rFonts w:ascii="Arial" w:eastAsia="Arial" w:hAnsi="Arial" w:cs="Arial"/>
          <w:sz w:val="20"/>
          <w:szCs w:val="20"/>
        </w:rPr>
        <w:t xml:space="preserve">The Supplier shall not seek, select or charge DCA Subcontractors any money for the right to be a DCA Subcontractor, or for any aspect of the Services provided to a Buyer or CCS. </w:t>
      </w:r>
    </w:p>
    <w:p w:rsidR="00D72414" w:rsidRDefault="00C0362E">
      <w:pPr>
        <w:numPr>
          <w:ilvl w:val="1"/>
          <w:numId w:val="13"/>
        </w:numPr>
        <w:pBdr>
          <w:top w:val="nil"/>
          <w:left w:val="nil"/>
          <w:bottom w:val="nil"/>
          <w:right w:val="nil"/>
          <w:between w:val="nil"/>
        </w:pBdr>
        <w:spacing w:before="240"/>
        <w:ind w:left="426" w:hanging="426"/>
        <w:jc w:val="both"/>
        <w:rPr>
          <w:rFonts w:ascii="Arial" w:eastAsia="Arial" w:hAnsi="Arial" w:cs="Arial"/>
          <w:sz w:val="20"/>
          <w:szCs w:val="20"/>
        </w:rPr>
      </w:pPr>
      <w:r>
        <w:rPr>
          <w:rFonts w:ascii="Arial" w:eastAsia="Arial" w:hAnsi="Arial" w:cs="Arial"/>
          <w:sz w:val="20"/>
          <w:szCs w:val="20"/>
        </w:rPr>
        <w:t xml:space="preserve">The Supplier and the Supplier shall ensure that Supplier Staff shall not seek or receive any payment from DCA Subcontractors </w:t>
      </w:r>
    </w:p>
    <w:p w:rsidR="00D72414" w:rsidRDefault="00C0362E">
      <w:pPr>
        <w:numPr>
          <w:ilvl w:val="0"/>
          <w:numId w:val="13"/>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b/>
          <w:sz w:val="20"/>
          <w:szCs w:val="20"/>
        </w:rPr>
        <w:t>MSP Revenue Trigger</w:t>
      </w:r>
    </w:p>
    <w:p w:rsidR="00D72414" w:rsidRDefault="00C0362E">
      <w:pPr>
        <w:numPr>
          <w:ilvl w:val="1"/>
          <w:numId w:val="13"/>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The Supplier shall provide a range Service Management Fee percentage (%) Charges based on a range of Service Management Fee Revenue as per the Table URN 1.0 at Section 1 of Annex 1.</w:t>
      </w:r>
    </w:p>
    <w:p w:rsidR="00D72414" w:rsidRDefault="00C0362E">
      <w:pPr>
        <w:numPr>
          <w:ilvl w:val="1"/>
          <w:numId w:val="13"/>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The Buyer will provide the Supplier with details of forecast annual Service Management Fee Charges prior to signing the Contract and at the beginning of each of the Buyer’s financial years. This shall be used to calculate the Service Management Fee. If there is less than a full Buyer financial year remaining, the forecast and Service Management Fee shall be Pro-Rata.  The Buyer may, at its discretion and at any time, undertake a reforecast of the annual Service Management Fee Charges.</w:t>
      </w:r>
    </w:p>
    <w:p w:rsidR="00D72414" w:rsidRDefault="00C0362E">
      <w:pPr>
        <w:numPr>
          <w:ilvl w:val="1"/>
          <w:numId w:val="13"/>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In any financial-year if the Buyer reforecasts the annual Service Management Fee Charges then the Service Management Fee shall be recalculated based on that reforecast. The Charges for the remainder of the Buyer’s Financial Year shall be calculated using the recalculated Service Management Fee. This shall be known as the “</w:t>
      </w:r>
      <w:r>
        <w:rPr>
          <w:rFonts w:ascii="Arial" w:eastAsia="Arial" w:hAnsi="Arial" w:cs="Arial"/>
          <w:b/>
          <w:sz w:val="20"/>
          <w:szCs w:val="20"/>
        </w:rPr>
        <w:t>Revised Service Management Fee</w:t>
      </w:r>
      <w:r>
        <w:rPr>
          <w:rFonts w:ascii="Arial" w:eastAsia="Arial" w:hAnsi="Arial" w:cs="Arial"/>
          <w:sz w:val="20"/>
          <w:szCs w:val="20"/>
        </w:rPr>
        <w:t>”.</w:t>
      </w:r>
    </w:p>
    <w:p w:rsidR="00D72414" w:rsidRDefault="00C0362E">
      <w:pPr>
        <w:numPr>
          <w:ilvl w:val="1"/>
          <w:numId w:val="13"/>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lastRenderedPageBreak/>
        <w:t>Where Paragraph 2.3. applies, the Supplier shall also calculate what the charges would have been if the Revised Service Management Fees had been used to calculate any Charges already paid by the Buyer within the Buyer’s Financial Year. This shall be known as the “</w:t>
      </w:r>
      <w:r>
        <w:rPr>
          <w:rFonts w:ascii="Arial" w:eastAsia="Arial" w:hAnsi="Arial" w:cs="Arial"/>
          <w:b/>
          <w:sz w:val="20"/>
          <w:szCs w:val="20"/>
        </w:rPr>
        <w:t>Service Management Fee Recalculation</w:t>
      </w:r>
      <w:r>
        <w:rPr>
          <w:rFonts w:ascii="Arial" w:eastAsia="Arial" w:hAnsi="Arial" w:cs="Arial"/>
          <w:sz w:val="20"/>
          <w:szCs w:val="20"/>
        </w:rPr>
        <w:t>”. If the Service Management Charges Recalculation demonstrates:</w:t>
      </w:r>
    </w:p>
    <w:p w:rsidR="00D72414" w:rsidRDefault="00C0362E">
      <w:pPr>
        <w:pBdr>
          <w:top w:val="nil"/>
          <w:left w:val="nil"/>
          <w:bottom w:val="nil"/>
          <w:right w:val="nil"/>
          <w:between w:val="nil"/>
        </w:pBdr>
        <w:spacing w:before="240"/>
        <w:ind w:left="794"/>
        <w:jc w:val="both"/>
        <w:rPr>
          <w:rFonts w:ascii="Arial" w:eastAsia="Arial" w:hAnsi="Arial" w:cs="Arial"/>
          <w:sz w:val="20"/>
          <w:szCs w:val="20"/>
        </w:rPr>
      </w:pPr>
      <w:r>
        <w:rPr>
          <w:rFonts w:ascii="Arial" w:eastAsia="Arial" w:hAnsi="Arial" w:cs="Arial"/>
          <w:sz w:val="20"/>
          <w:szCs w:val="20"/>
        </w:rPr>
        <w:t>a) that the Buyer would have paid less under the Revised Service Management Fee (as against the Service Management Fee paid),  then the Supplier shall refund the Buyer the difference between the Revised Service Management Fee and the Service Management Fee paid; or</w:t>
      </w:r>
    </w:p>
    <w:p w:rsidR="00D72414" w:rsidRDefault="00C0362E">
      <w:pPr>
        <w:pBdr>
          <w:top w:val="nil"/>
          <w:left w:val="nil"/>
          <w:bottom w:val="nil"/>
          <w:right w:val="nil"/>
          <w:between w:val="nil"/>
        </w:pBdr>
        <w:spacing w:before="240"/>
        <w:ind w:left="794"/>
        <w:jc w:val="both"/>
        <w:rPr>
          <w:rFonts w:ascii="Arial" w:eastAsia="Arial" w:hAnsi="Arial" w:cs="Arial"/>
          <w:sz w:val="20"/>
          <w:szCs w:val="20"/>
        </w:rPr>
      </w:pPr>
      <w:r>
        <w:rPr>
          <w:rFonts w:ascii="Arial" w:eastAsia="Arial" w:hAnsi="Arial" w:cs="Arial"/>
          <w:sz w:val="20"/>
          <w:szCs w:val="20"/>
        </w:rPr>
        <w:t xml:space="preserve">b) that Buyer would have paid more under the Revised Service Management Fee (as against the Service Management Fee paid), then the Buyer shall pay the Supplier the difference between the Service Management Fees paid and the Revised Service Management Fee. </w:t>
      </w:r>
    </w:p>
    <w:p w:rsidR="00D72414" w:rsidRDefault="00C0362E">
      <w:pPr>
        <w:pBdr>
          <w:top w:val="nil"/>
          <w:left w:val="nil"/>
          <w:bottom w:val="nil"/>
          <w:right w:val="nil"/>
          <w:between w:val="nil"/>
        </w:pBdr>
        <w:spacing w:before="240"/>
        <w:ind w:left="794" w:firstLine="646"/>
        <w:jc w:val="both"/>
        <w:rPr>
          <w:rFonts w:ascii="Arial" w:eastAsia="Arial" w:hAnsi="Arial" w:cs="Arial"/>
          <w:sz w:val="20"/>
          <w:szCs w:val="20"/>
        </w:rPr>
      </w:pPr>
      <w:r>
        <w:rPr>
          <w:rFonts w:ascii="Arial" w:eastAsia="Arial" w:hAnsi="Arial" w:cs="Arial"/>
          <w:sz w:val="20"/>
          <w:szCs w:val="20"/>
        </w:rPr>
        <w:t>For example, the below demonstrate how this could work in practice:</w:t>
      </w:r>
    </w:p>
    <w:p w:rsidR="00D72414" w:rsidRDefault="00C0362E">
      <w:pPr>
        <w:numPr>
          <w:ilvl w:val="0"/>
          <w:numId w:val="25"/>
        </w:numPr>
        <w:pBdr>
          <w:top w:val="nil"/>
          <w:left w:val="nil"/>
          <w:bottom w:val="nil"/>
          <w:right w:val="nil"/>
          <w:between w:val="nil"/>
        </w:pBdr>
        <w:spacing w:before="240"/>
        <w:jc w:val="both"/>
        <w:rPr>
          <w:rFonts w:ascii="Arial" w:eastAsia="Arial" w:hAnsi="Arial" w:cs="Arial"/>
          <w:color w:val="000000"/>
          <w:sz w:val="20"/>
          <w:szCs w:val="20"/>
        </w:rPr>
      </w:pPr>
      <w:r>
        <w:rPr>
          <w:rFonts w:ascii="Arial" w:eastAsia="Arial" w:hAnsi="Arial" w:cs="Arial"/>
          <w:color w:val="000000"/>
          <w:sz w:val="20"/>
          <w:szCs w:val="20"/>
        </w:rPr>
        <w:t>In this example HMRC has forecast that they will spend £5m and the Supplier’s Framework Price is 2%. This equates to £100,000 per year or £8,333 per Month.</w:t>
      </w:r>
    </w:p>
    <w:p w:rsidR="00D72414" w:rsidRDefault="00C0362E">
      <w:pPr>
        <w:numPr>
          <w:ilvl w:val="0"/>
          <w:numId w:val="2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At Month 6 of the Financial Year HMRC has reforecast and now expects to spend £7.5m. The Supplier’s Framework Price for this Revenue Band is 1%</w:t>
      </w:r>
    </w:p>
    <w:p w:rsidR="00D72414" w:rsidRDefault="00C0362E">
      <w:pPr>
        <w:numPr>
          <w:ilvl w:val="0"/>
          <w:numId w:val="2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1% is the Revised Service Management Fee for the remainder of the Buyer’s Financial Year</w:t>
      </w:r>
    </w:p>
    <w:p w:rsidR="00D72414" w:rsidRDefault="00C0362E">
      <w:pPr>
        <w:numPr>
          <w:ilvl w:val="0"/>
          <w:numId w:val="2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calculates that the Revised Service Management Fee</w:t>
      </w:r>
      <w:r>
        <w:rPr>
          <w:rFonts w:ascii="Arial" w:eastAsia="Arial" w:hAnsi="Arial" w:cs="Arial"/>
          <w:color w:val="70AD47"/>
          <w:sz w:val="20"/>
          <w:szCs w:val="20"/>
        </w:rPr>
        <w:t xml:space="preserve"> </w:t>
      </w:r>
      <w:r>
        <w:rPr>
          <w:rFonts w:ascii="Arial" w:eastAsia="Arial" w:hAnsi="Arial" w:cs="Arial"/>
          <w:color w:val="000000"/>
          <w:sz w:val="20"/>
          <w:szCs w:val="20"/>
        </w:rPr>
        <w:t>= £75,000 for the full year which is £6250 per/Month</w:t>
      </w:r>
    </w:p>
    <w:p w:rsidR="00D72414" w:rsidRDefault="00C0362E">
      <w:pPr>
        <w:numPr>
          <w:ilvl w:val="0"/>
          <w:numId w:val="2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HMRC will pay £6,250 for each Month for the remainder of the Financial Year</w:t>
      </w:r>
    </w:p>
    <w:p w:rsidR="00D72414" w:rsidRDefault="00C0362E">
      <w:pPr>
        <w:numPr>
          <w:ilvl w:val="0"/>
          <w:numId w:val="2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Supplier calculates the actual HMRC </w:t>
      </w:r>
      <w:r>
        <w:rPr>
          <w:rFonts w:ascii="Arial" w:eastAsia="Arial" w:hAnsi="Arial" w:cs="Arial"/>
          <w:color w:val="4472C4"/>
          <w:sz w:val="20"/>
          <w:szCs w:val="20"/>
        </w:rPr>
        <w:t xml:space="preserve">Service Management Fee Revenue </w:t>
      </w:r>
      <w:r>
        <w:rPr>
          <w:rFonts w:ascii="Arial" w:eastAsia="Arial" w:hAnsi="Arial" w:cs="Arial"/>
          <w:color w:val="000000"/>
          <w:sz w:val="20"/>
          <w:szCs w:val="20"/>
        </w:rPr>
        <w:t xml:space="preserve">to date as £50,000. </w:t>
      </w:r>
    </w:p>
    <w:p w:rsidR="00D72414" w:rsidRDefault="00C0362E">
      <w:pPr>
        <w:numPr>
          <w:ilvl w:val="0"/>
          <w:numId w:val="2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calculates what the revenue would have been if HMRC had paid the Revised Service Management Fee for the 6 Months that have already passed. This would be £6,250 (the Monthly Revised Service Management Fee) x 6 (the number of Months already passed) = £37,500</w:t>
      </w:r>
    </w:p>
    <w:p w:rsidR="00D72414" w:rsidRDefault="00C0362E">
      <w:pPr>
        <w:numPr>
          <w:ilvl w:val="0"/>
          <w:numId w:val="2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As HMRC has paid £50,000 the Supplier will refund HMRC the difference between the £50,000 paid and the £37,500 Revised Service Management Fee = £12,500.</w:t>
      </w:r>
    </w:p>
    <w:p w:rsidR="00D72414" w:rsidRDefault="00D72414">
      <w:pPr>
        <w:pBdr>
          <w:top w:val="nil"/>
          <w:left w:val="nil"/>
          <w:bottom w:val="nil"/>
          <w:right w:val="nil"/>
          <w:between w:val="nil"/>
        </w:pBdr>
        <w:spacing w:before="240"/>
        <w:ind w:left="794"/>
        <w:jc w:val="both"/>
        <w:rPr>
          <w:rFonts w:ascii="Arial" w:eastAsia="Arial" w:hAnsi="Arial" w:cs="Arial"/>
          <w:color w:val="FF0000"/>
          <w:sz w:val="20"/>
          <w:szCs w:val="20"/>
        </w:rPr>
      </w:pPr>
    </w:p>
    <w:p w:rsidR="00D72414" w:rsidRDefault="00C0362E">
      <w:pPr>
        <w:numPr>
          <w:ilvl w:val="0"/>
          <w:numId w:val="13"/>
        </w:numPr>
        <w:pBdr>
          <w:top w:val="nil"/>
          <w:left w:val="nil"/>
          <w:bottom w:val="nil"/>
          <w:right w:val="nil"/>
          <w:between w:val="nil"/>
        </w:pBdr>
        <w:spacing w:before="240"/>
        <w:jc w:val="both"/>
        <w:rPr>
          <w:b/>
          <w:color w:val="000000"/>
        </w:rPr>
      </w:pPr>
      <w:r>
        <w:rPr>
          <w:rFonts w:ascii="Arial" w:eastAsia="Arial" w:hAnsi="Arial" w:cs="Arial"/>
          <w:b/>
          <w:color w:val="000000"/>
          <w:sz w:val="20"/>
          <w:szCs w:val="20"/>
        </w:rPr>
        <w:t xml:space="preserve">DCA Subcontractor Commission Caps </w:t>
      </w:r>
    </w:p>
    <w:p w:rsidR="00D72414" w:rsidRDefault="00C0362E">
      <w:pPr>
        <w:numPr>
          <w:ilvl w:val="1"/>
          <w:numId w:val="13"/>
        </w:numPr>
        <w:pBdr>
          <w:top w:val="nil"/>
          <w:left w:val="nil"/>
          <w:bottom w:val="nil"/>
          <w:right w:val="nil"/>
          <w:between w:val="nil"/>
        </w:pBdr>
        <w:spacing w:before="240"/>
        <w:jc w:val="both"/>
      </w:pPr>
      <w:r>
        <w:rPr>
          <w:rFonts w:ascii="Arial" w:eastAsia="Arial" w:hAnsi="Arial" w:cs="Arial"/>
          <w:color w:val="000000"/>
          <w:sz w:val="20"/>
          <w:szCs w:val="20"/>
        </w:rPr>
        <w:t xml:space="preserve">The DCA Commission Cap is the maximum aggregate Commission charge payable by the Buyer for each Debt Type within any Tranche of Debt Placed with the Supplier.  The DCA Commission Cap for each Debt Type is contained </w:t>
      </w:r>
      <w:r>
        <w:rPr>
          <w:rFonts w:ascii="Arial" w:eastAsia="Arial" w:hAnsi="Arial" w:cs="Arial"/>
          <w:sz w:val="20"/>
          <w:szCs w:val="20"/>
        </w:rPr>
        <w:t xml:space="preserve">at Section 1 Annex 1 </w:t>
      </w:r>
      <w:r>
        <w:rPr>
          <w:rFonts w:ascii="Arial" w:eastAsia="Arial" w:hAnsi="Arial" w:cs="Arial"/>
          <w:color w:val="000000"/>
          <w:sz w:val="20"/>
          <w:szCs w:val="20"/>
        </w:rPr>
        <w:t>to this Schedule or within the Buyer’s Call-Off Contract.</w:t>
      </w:r>
    </w:p>
    <w:p w:rsidR="00D72414" w:rsidRDefault="00C0362E">
      <w:pPr>
        <w:numPr>
          <w:ilvl w:val="1"/>
          <w:numId w:val="13"/>
        </w:numPr>
        <w:pBdr>
          <w:top w:val="nil"/>
          <w:left w:val="nil"/>
          <w:bottom w:val="nil"/>
          <w:right w:val="nil"/>
          <w:between w:val="nil"/>
        </w:pBdr>
        <w:spacing w:before="240"/>
        <w:jc w:val="both"/>
      </w:pPr>
      <w:r>
        <w:rPr>
          <w:rFonts w:ascii="Arial" w:eastAsia="Arial" w:hAnsi="Arial" w:cs="Arial"/>
          <w:color w:val="000000"/>
          <w:sz w:val="20"/>
          <w:szCs w:val="20"/>
        </w:rPr>
        <w:t>The DCA Commission Cap shall be applicable to each Debt Type within each Tranche of Debt Placed by the Buyer for the Placement period that any Debt within the Tranche is being managed by the Supplier.</w:t>
      </w:r>
    </w:p>
    <w:p w:rsidR="00D72414" w:rsidRDefault="00C0362E">
      <w:pPr>
        <w:numPr>
          <w:ilvl w:val="1"/>
          <w:numId w:val="13"/>
        </w:numPr>
        <w:pBdr>
          <w:top w:val="nil"/>
          <w:left w:val="nil"/>
          <w:bottom w:val="nil"/>
          <w:right w:val="nil"/>
          <w:between w:val="nil"/>
        </w:pBdr>
        <w:spacing w:before="240"/>
        <w:jc w:val="both"/>
      </w:pPr>
      <w:r>
        <w:rPr>
          <w:rFonts w:ascii="Arial" w:eastAsia="Arial" w:hAnsi="Arial" w:cs="Arial"/>
          <w:color w:val="000000"/>
          <w:sz w:val="20"/>
          <w:szCs w:val="20"/>
        </w:rPr>
        <w:lastRenderedPageBreak/>
        <w:t>The Supplier shall be responsible for setting, reviewing and adjusting the DCA Commission Charge in accordance with the DCA Commission Cap. The Supplier may select to pay one or more DCA Subcontractors a Commission rate outside of the DCA Commission Cap, but only in accordance with Paragraph 3.1 above. For</w:t>
      </w:r>
      <w:r>
        <w:rPr>
          <w:rFonts w:ascii="Arial" w:eastAsia="Arial" w:hAnsi="Arial" w:cs="Arial"/>
          <w:sz w:val="20"/>
          <w:szCs w:val="20"/>
        </w:rPr>
        <w:t xml:space="preserve"> example, below we have set out examples that demonstrates how this could work in practise:</w:t>
      </w:r>
    </w:p>
    <w:p w:rsidR="00D72414" w:rsidRDefault="00C0362E">
      <w:pPr>
        <w:pBdr>
          <w:top w:val="nil"/>
          <w:left w:val="nil"/>
          <w:bottom w:val="nil"/>
          <w:right w:val="nil"/>
          <w:between w:val="nil"/>
        </w:pBdr>
        <w:spacing w:before="240"/>
        <w:ind w:left="1218"/>
        <w:jc w:val="both"/>
      </w:pPr>
      <w:r>
        <w:rPr>
          <w:rFonts w:ascii="Arial" w:eastAsia="Arial" w:hAnsi="Arial" w:cs="Arial"/>
          <w:sz w:val="20"/>
          <w:szCs w:val="20"/>
        </w:rPr>
        <w:t>Example 1: In this example 1 the DCA Commission Cap for HMRC Self-Assessment Penalties is 4%</w:t>
      </w:r>
    </w:p>
    <w:p w:rsidR="00D72414" w:rsidRDefault="00C0362E">
      <w:pPr>
        <w:numPr>
          <w:ilvl w:val="0"/>
          <w:numId w:val="22"/>
        </w:numPr>
        <w:pBdr>
          <w:top w:val="nil"/>
          <w:left w:val="nil"/>
          <w:bottom w:val="nil"/>
          <w:right w:val="nil"/>
          <w:between w:val="nil"/>
        </w:pBdr>
        <w:spacing w:before="240"/>
        <w:ind w:left="1504"/>
        <w:jc w:val="both"/>
      </w:pPr>
      <w:r>
        <w:rPr>
          <w:rFonts w:ascii="Arial" w:eastAsia="Arial" w:hAnsi="Arial" w:cs="Arial"/>
          <w:color w:val="000000"/>
          <w:sz w:val="20"/>
          <w:szCs w:val="20"/>
        </w:rPr>
        <w:t>DCA Subcontractor 1 collects £100 from a Tranche of Debt, at a Commission rate of 5% and invoices the Supplier £5</w:t>
      </w:r>
    </w:p>
    <w:p w:rsidR="00D72414" w:rsidRDefault="00C0362E">
      <w:pPr>
        <w:numPr>
          <w:ilvl w:val="0"/>
          <w:numId w:val="22"/>
        </w:numPr>
        <w:pBdr>
          <w:top w:val="nil"/>
          <w:left w:val="nil"/>
          <w:bottom w:val="nil"/>
          <w:right w:val="nil"/>
          <w:between w:val="nil"/>
        </w:pBdr>
        <w:ind w:left="1504"/>
        <w:jc w:val="both"/>
      </w:pPr>
      <w:r>
        <w:rPr>
          <w:rFonts w:ascii="Arial" w:eastAsia="Arial" w:hAnsi="Arial" w:cs="Arial"/>
          <w:color w:val="000000"/>
          <w:sz w:val="20"/>
          <w:szCs w:val="20"/>
        </w:rPr>
        <w:t>DCA Subcontractor 2 collects £100 from the same Tranche of Debt, at a Commission rate of 3% and invoices the Supplier £3</w:t>
      </w:r>
    </w:p>
    <w:p w:rsidR="00D72414" w:rsidRDefault="00C0362E">
      <w:pPr>
        <w:numPr>
          <w:ilvl w:val="0"/>
          <w:numId w:val="22"/>
        </w:numPr>
        <w:pBdr>
          <w:top w:val="nil"/>
          <w:left w:val="nil"/>
          <w:bottom w:val="nil"/>
          <w:right w:val="nil"/>
          <w:between w:val="nil"/>
        </w:pBdr>
        <w:ind w:left="1504"/>
        <w:jc w:val="both"/>
      </w:pPr>
      <w:r>
        <w:rPr>
          <w:rFonts w:ascii="Arial" w:eastAsia="Arial" w:hAnsi="Arial" w:cs="Arial"/>
          <w:color w:val="000000"/>
          <w:sz w:val="20"/>
          <w:szCs w:val="20"/>
        </w:rPr>
        <w:t>In this case £200 has been collected, £8 has been invoiced and the average Commission rate is 4%, therefore the Supplier may invoice the Buyer for full £8 they have been invoiced by the DCA Subcontractor.</w:t>
      </w:r>
    </w:p>
    <w:p w:rsidR="00D72414" w:rsidRDefault="00C0362E">
      <w:pPr>
        <w:pBdr>
          <w:top w:val="nil"/>
          <w:left w:val="nil"/>
          <w:bottom w:val="nil"/>
          <w:right w:val="nil"/>
          <w:between w:val="nil"/>
        </w:pBdr>
        <w:spacing w:before="240"/>
        <w:ind w:left="424" w:firstLine="720"/>
        <w:jc w:val="both"/>
      </w:pPr>
      <w:r>
        <w:rPr>
          <w:rFonts w:ascii="Arial" w:eastAsia="Arial" w:hAnsi="Arial" w:cs="Arial"/>
          <w:sz w:val="20"/>
          <w:szCs w:val="20"/>
        </w:rPr>
        <w:t>Example 2: In this example 2 the DCA Commission Cap for HMRC Self-Assessment Penalties is 4%</w:t>
      </w:r>
    </w:p>
    <w:p w:rsidR="00D72414" w:rsidRDefault="00C0362E">
      <w:pPr>
        <w:numPr>
          <w:ilvl w:val="0"/>
          <w:numId w:val="24"/>
        </w:numPr>
        <w:pBdr>
          <w:top w:val="nil"/>
          <w:left w:val="nil"/>
          <w:bottom w:val="nil"/>
          <w:right w:val="nil"/>
          <w:between w:val="nil"/>
        </w:pBdr>
        <w:spacing w:before="240"/>
        <w:ind w:left="1504"/>
        <w:jc w:val="both"/>
      </w:pPr>
      <w:r>
        <w:rPr>
          <w:rFonts w:ascii="Arial" w:eastAsia="Arial" w:hAnsi="Arial" w:cs="Arial"/>
          <w:color w:val="000000"/>
          <w:sz w:val="20"/>
          <w:szCs w:val="20"/>
        </w:rPr>
        <w:t>DCA Subcontractor 1 collects £100 from a Tranche of Debt, at a Commission rate of 5% and invoices the Supplier £5</w:t>
      </w:r>
    </w:p>
    <w:p w:rsidR="00D72414" w:rsidRDefault="00C0362E">
      <w:pPr>
        <w:numPr>
          <w:ilvl w:val="0"/>
          <w:numId w:val="24"/>
        </w:numPr>
        <w:pBdr>
          <w:top w:val="nil"/>
          <w:left w:val="nil"/>
          <w:bottom w:val="nil"/>
          <w:right w:val="nil"/>
          <w:between w:val="nil"/>
        </w:pBdr>
        <w:ind w:left="1504"/>
        <w:jc w:val="both"/>
      </w:pPr>
      <w:r>
        <w:rPr>
          <w:rFonts w:ascii="Arial" w:eastAsia="Arial" w:hAnsi="Arial" w:cs="Arial"/>
          <w:color w:val="000000"/>
          <w:sz w:val="20"/>
          <w:szCs w:val="20"/>
        </w:rPr>
        <w:t>DCA Subcontractor 2 collects £100 from the same Tranche of Debt, at a Commission rate of 4% and invoices the Supplier £4</w:t>
      </w:r>
    </w:p>
    <w:p w:rsidR="00D72414" w:rsidRDefault="00C0362E">
      <w:pPr>
        <w:numPr>
          <w:ilvl w:val="0"/>
          <w:numId w:val="24"/>
        </w:numPr>
        <w:pBdr>
          <w:top w:val="nil"/>
          <w:left w:val="nil"/>
          <w:bottom w:val="nil"/>
          <w:right w:val="nil"/>
          <w:between w:val="nil"/>
        </w:pBdr>
        <w:ind w:left="1504"/>
        <w:jc w:val="both"/>
      </w:pPr>
      <w:r>
        <w:rPr>
          <w:rFonts w:ascii="Arial" w:eastAsia="Arial" w:hAnsi="Arial" w:cs="Arial"/>
          <w:color w:val="000000"/>
          <w:sz w:val="20"/>
          <w:szCs w:val="20"/>
        </w:rPr>
        <w:t xml:space="preserve">In this case £200 has been collected, £9 has been invoiced and the average Commission rate is 4.5%. </w:t>
      </w:r>
    </w:p>
    <w:p w:rsidR="00D72414" w:rsidRDefault="00C0362E">
      <w:pPr>
        <w:numPr>
          <w:ilvl w:val="0"/>
          <w:numId w:val="24"/>
        </w:numPr>
        <w:pBdr>
          <w:top w:val="nil"/>
          <w:left w:val="nil"/>
          <w:bottom w:val="nil"/>
          <w:right w:val="nil"/>
          <w:between w:val="nil"/>
        </w:pBdr>
        <w:ind w:left="1504"/>
        <w:jc w:val="both"/>
      </w:pPr>
      <w:r>
        <w:rPr>
          <w:rFonts w:ascii="Arial" w:eastAsia="Arial" w:hAnsi="Arial" w:cs="Arial"/>
          <w:color w:val="000000"/>
          <w:sz w:val="20"/>
          <w:szCs w:val="20"/>
        </w:rPr>
        <w:t>As the DCA Commission Cap is 4%, the Supplier may invoice the Buyer for £8 (£200 x4%) which is the “</w:t>
      </w:r>
      <w:r>
        <w:rPr>
          <w:rFonts w:ascii="Arial" w:eastAsia="Arial" w:hAnsi="Arial" w:cs="Arial"/>
          <w:b/>
          <w:color w:val="000000"/>
          <w:sz w:val="20"/>
          <w:szCs w:val="20"/>
        </w:rPr>
        <w:t>Allowable DCA Commission Charge</w:t>
      </w:r>
      <w:r>
        <w:rPr>
          <w:rFonts w:ascii="Arial" w:eastAsia="Arial" w:hAnsi="Arial" w:cs="Arial"/>
          <w:color w:val="000000"/>
          <w:sz w:val="20"/>
          <w:szCs w:val="20"/>
        </w:rPr>
        <w:t>“ in this example.</w:t>
      </w:r>
    </w:p>
    <w:p w:rsidR="00D72414" w:rsidRDefault="00C0362E">
      <w:pPr>
        <w:numPr>
          <w:ilvl w:val="0"/>
          <w:numId w:val="24"/>
        </w:numPr>
        <w:pBdr>
          <w:top w:val="nil"/>
          <w:left w:val="nil"/>
          <w:bottom w:val="nil"/>
          <w:right w:val="nil"/>
          <w:between w:val="nil"/>
        </w:pBdr>
        <w:ind w:left="1504"/>
        <w:jc w:val="both"/>
      </w:pPr>
      <w:r>
        <w:rPr>
          <w:rFonts w:ascii="Arial" w:eastAsia="Arial" w:hAnsi="Arial" w:cs="Arial"/>
          <w:color w:val="000000"/>
          <w:sz w:val="20"/>
          <w:szCs w:val="20"/>
        </w:rPr>
        <w:t>The Supplier will be responsible for paying the DCA Subcontractors the remaining £1 above the DCA Commission Cap.</w:t>
      </w:r>
    </w:p>
    <w:p w:rsidR="00D72414" w:rsidRDefault="00C0362E">
      <w:pPr>
        <w:numPr>
          <w:ilvl w:val="1"/>
          <w:numId w:val="13"/>
        </w:numPr>
        <w:pBdr>
          <w:top w:val="nil"/>
          <w:left w:val="nil"/>
          <w:bottom w:val="nil"/>
          <w:right w:val="nil"/>
          <w:between w:val="nil"/>
        </w:pBdr>
        <w:spacing w:before="240"/>
        <w:jc w:val="both"/>
      </w:pPr>
      <w:r>
        <w:rPr>
          <w:rFonts w:ascii="Arial" w:eastAsia="Arial" w:hAnsi="Arial" w:cs="Arial"/>
          <w:color w:val="000000"/>
          <w:sz w:val="20"/>
          <w:szCs w:val="20"/>
        </w:rPr>
        <w:t>The Allowable DCA Commission Charge shall be passed through to the relevant Buyer without the addition of any margin or overhead by the Supplier.</w:t>
      </w:r>
    </w:p>
    <w:p w:rsidR="00D72414" w:rsidRDefault="00C0362E">
      <w:pPr>
        <w:numPr>
          <w:ilvl w:val="1"/>
          <w:numId w:val="13"/>
        </w:numPr>
        <w:pBdr>
          <w:top w:val="nil"/>
          <w:left w:val="nil"/>
          <w:bottom w:val="nil"/>
          <w:right w:val="nil"/>
          <w:between w:val="nil"/>
        </w:pBdr>
        <w:spacing w:before="240"/>
        <w:jc w:val="both"/>
      </w:pPr>
      <w:r>
        <w:rPr>
          <w:rFonts w:ascii="Arial" w:eastAsia="Arial" w:hAnsi="Arial" w:cs="Arial"/>
          <w:color w:val="000000"/>
          <w:sz w:val="20"/>
          <w:szCs w:val="20"/>
        </w:rPr>
        <w:t xml:space="preserve">The Service Management Fee and Allowable DCA Commission Charge will be payable Monthly by the Buyer as set out in the Order Form. </w:t>
      </w:r>
    </w:p>
    <w:p w:rsidR="00D72414" w:rsidRDefault="00C0362E">
      <w:pPr>
        <w:numPr>
          <w:ilvl w:val="0"/>
          <w:numId w:val="13"/>
        </w:numPr>
        <w:pBdr>
          <w:top w:val="nil"/>
          <w:left w:val="nil"/>
          <w:bottom w:val="nil"/>
          <w:right w:val="nil"/>
          <w:between w:val="nil"/>
        </w:pBdr>
        <w:spacing w:before="240"/>
        <w:jc w:val="both"/>
        <w:rPr>
          <w:rFonts w:ascii="Arial" w:eastAsia="Arial" w:hAnsi="Arial" w:cs="Arial"/>
          <w:b/>
          <w:sz w:val="20"/>
          <w:szCs w:val="20"/>
        </w:rPr>
      </w:pPr>
      <w:r>
        <w:rPr>
          <w:rFonts w:ascii="Arial" w:eastAsia="Arial" w:hAnsi="Arial" w:cs="Arial"/>
          <w:b/>
          <w:sz w:val="20"/>
          <w:szCs w:val="20"/>
        </w:rPr>
        <w:t xml:space="preserve">Distribution of Revenue </w:t>
      </w:r>
    </w:p>
    <w:p w:rsidR="00D72414" w:rsidRDefault="00C0362E">
      <w:pPr>
        <w:numPr>
          <w:ilvl w:val="1"/>
          <w:numId w:val="13"/>
        </w:numPr>
        <w:pBdr>
          <w:top w:val="nil"/>
          <w:left w:val="nil"/>
          <w:bottom w:val="nil"/>
          <w:right w:val="nil"/>
          <w:between w:val="nil"/>
        </w:pBdr>
        <w:spacing w:before="240"/>
        <w:jc w:val="both"/>
        <w:rPr>
          <w:rFonts w:ascii="Arial" w:eastAsia="Arial" w:hAnsi="Arial" w:cs="Arial"/>
          <w:color w:val="000000"/>
        </w:rPr>
      </w:pPr>
      <w:r>
        <w:rPr>
          <w:rFonts w:ascii="Arial" w:eastAsia="Arial" w:hAnsi="Arial" w:cs="Arial"/>
          <w:color w:val="000000"/>
          <w:sz w:val="20"/>
          <w:szCs w:val="20"/>
        </w:rPr>
        <w:t xml:space="preserve">It is expected that the total Service Management Fee Revenue in any Financial Year will not exceed the total invoiced Commission Payments for the same Financial Year, in any Financial Year. If the total invoiced Service Management Fee Revenue in any Financial Year does exceed the total invoiced Commission Payments for the same Financial Year, the Buyer shall have the right to renegotiate the Service Management Fee.  This shall be governed by the Variation Procedure. </w:t>
      </w:r>
    </w:p>
    <w:p w:rsidR="00D72414" w:rsidRDefault="00C0362E">
      <w:pPr>
        <w:numPr>
          <w:ilvl w:val="0"/>
          <w:numId w:val="13"/>
        </w:numPr>
        <w:pBdr>
          <w:top w:val="nil"/>
          <w:left w:val="nil"/>
          <w:bottom w:val="nil"/>
          <w:right w:val="nil"/>
          <w:between w:val="nil"/>
        </w:pBdr>
        <w:spacing w:before="240"/>
        <w:jc w:val="both"/>
        <w:rPr>
          <w:rFonts w:ascii="Arial" w:eastAsia="Arial" w:hAnsi="Arial" w:cs="Arial"/>
          <w:b/>
          <w:sz w:val="20"/>
          <w:szCs w:val="20"/>
        </w:rPr>
      </w:pPr>
      <w:r>
        <w:rPr>
          <w:rFonts w:ascii="Arial" w:eastAsia="Arial" w:hAnsi="Arial" w:cs="Arial"/>
          <w:b/>
          <w:sz w:val="20"/>
          <w:szCs w:val="20"/>
        </w:rPr>
        <w:t>Profit Review</w:t>
      </w:r>
    </w:p>
    <w:p w:rsidR="00D72414" w:rsidRDefault="00C0362E">
      <w:pPr>
        <w:numPr>
          <w:ilvl w:val="1"/>
          <w:numId w:val="13"/>
        </w:numPr>
        <w:pBdr>
          <w:top w:val="nil"/>
          <w:left w:val="nil"/>
          <w:bottom w:val="nil"/>
          <w:right w:val="nil"/>
          <w:between w:val="nil"/>
        </w:pBdr>
        <w:spacing w:before="240"/>
        <w:jc w:val="both"/>
        <w:rPr>
          <w:rFonts w:ascii="Arial" w:eastAsia="Arial" w:hAnsi="Arial" w:cs="Arial"/>
          <w:color w:val="000000"/>
        </w:rPr>
      </w:pPr>
      <w:r>
        <w:rPr>
          <w:rFonts w:ascii="Arial" w:eastAsia="Arial" w:hAnsi="Arial" w:cs="Arial"/>
          <w:color w:val="000000"/>
          <w:sz w:val="20"/>
          <w:szCs w:val="20"/>
        </w:rPr>
        <w:t>If the Supplier’s overall Profit:</w:t>
      </w:r>
    </w:p>
    <w:p w:rsidR="00D72414" w:rsidRDefault="00C0362E">
      <w:pPr>
        <w:pBdr>
          <w:top w:val="nil"/>
          <w:left w:val="nil"/>
          <w:bottom w:val="nil"/>
          <w:right w:val="nil"/>
          <w:between w:val="nil"/>
        </w:pBdr>
        <w:ind w:left="1080" w:hanging="654"/>
        <w:jc w:val="both"/>
        <w:rPr>
          <w:rFonts w:ascii="Arial" w:eastAsia="Arial" w:hAnsi="Arial" w:cs="Arial"/>
          <w:color w:val="000000"/>
        </w:rPr>
      </w:pPr>
      <w:r>
        <w:rPr>
          <w:rFonts w:ascii="Arial" w:eastAsia="Arial" w:hAnsi="Arial" w:cs="Arial"/>
          <w:color w:val="000000"/>
          <w:sz w:val="20"/>
          <w:szCs w:val="20"/>
        </w:rPr>
        <w:t>5.1.1</w:t>
      </w:r>
      <w:r>
        <w:rPr>
          <w:rFonts w:ascii="Arial" w:eastAsia="Arial" w:hAnsi="Arial" w:cs="Arial"/>
          <w:color w:val="000000"/>
          <w:sz w:val="20"/>
          <w:szCs w:val="20"/>
        </w:rPr>
        <w:tab/>
        <w:t xml:space="preserve">across all Buyers’ Call-Off Contracts for Managed Collections Services exceeds 25% at the end of any Financial Year, the Supplier shall undertake a review of all Framework Prices under the Framework Contract and, in accordance with the Variation Procedure, adjust the Framework Prices to ensure the Supplier Profits do not exceed 25% in any future Financial Years; </w:t>
      </w:r>
    </w:p>
    <w:p w:rsidR="00D72414" w:rsidRDefault="00C0362E">
      <w:pPr>
        <w:pBdr>
          <w:top w:val="nil"/>
          <w:left w:val="nil"/>
          <w:bottom w:val="nil"/>
          <w:right w:val="nil"/>
          <w:between w:val="nil"/>
        </w:pBdr>
        <w:ind w:left="1080" w:hanging="654"/>
        <w:jc w:val="both"/>
        <w:rPr>
          <w:rFonts w:ascii="Arial" w:eastAsia="Arial" w:hAnsi="Arial" w:cs="Arial"/>
          <w:color w:val="000000"/>
        </w:rPr>
      </w:pPr>
      <w:r>
        <w:rPr>
          <w:rFonts w:ascii="Arial" w:eastAsia="Arial" w:hAnsi="Arial" w:cs="Arial"/>
          <w:color w:val="000000"/>
          <w:sz w:val="20"/>
          <w:szCs w:val="20"/>
        </w:rPr>
        <w:lastRenderedPageBreak/>
        <w:t>5.1.2</w:t>
      </w:r>
      <w:r>
        <w:rPr>
          <w:rFonts w:ascii="Arial" w:eastAsia="Arial" w:hAnsi="Arial" w:cs="Arial"/>
          <w:color w:val="000000"/>
          <w:sz w:val="20"/>
          <w:szCs w:val="20"/>
        </w:rPr>
        <w:tab/>
        <w:t>has been adjusted in accordance with Paragraph 5.1.1 above, then any reduction in the Service Management Fee shall automatically flow down into all Buyer’s Call-Off Contracts immediately upon the execution of the Variation Form under Paragraph 5.1.1</w:t>
      </w:r>
      <w:r>
        <w:rPr>
          <w:rFonts w:ascii="Arial" w:eastAsia="Arial" w:hAnsi="Arial" w:cs="Arial"/>
          <w:color w:val="4472C4"/>
          <w:sz w:val="20"/>
          <w:szCs w:val="20"/>
        </w:rPr>
        <w:t>.</w:t>
      </w:r>
    </w:p>
    <w:p w:rsidR="00D72414" w:rsidRDefault="00D72414">
      <w:pPr>
        <w:pBdr>
          <w:top w:val="nil"/>
          <w:left w:val="nil"/>
          <w:bottom w:val="nil"/>
          <w:right w:val="nil"/>
          <w:between w:val="nil"/>
        </w:pBdr>
        <w:ind w:left="794"/>
        <w:jc w:val="both"/>
        <w:rPr>
          <w:rFonts w:ascii="Arial" w:eastAsia="Arial" w:hAnsi="Arial" w:cs="Arial"/>
          <w:color w:val="000000"/>
        </w:rPr>
      </w:pPr>
    </w:p>
    <w:p w:rsidR="00D72414" w:rsidRDefault="00C0362E">
      <w:pPr>
        <w:numPr>
          <w:ilvl w:val="1"/>
          <w:numId w:val="13"/>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sz w:val="20"/>
          <w:szCs w:val="20"/>
        </w:rPr>
        <w:t xml:space="preserve">The Supplier will complete and return to CSS an Impact Assessment within 2 weeks of the end of the Financial Year that demonstrates the value of Profits within the previous Financial Year and how they were distributed across each Buyer. This will also include details of a proposal for the Price Adjustment for each Buyer and the total value of Profit that this represents to be redistributed to the Buyers. This will include both summary and Buyer level detail of forecast costs, revenue and profit for the next Financial Year. Should any Price Adjustment be agreed, the Parties shall comply with the Variation Procedure </w:t>
      </w:r>
    </w:p>
    <w:p w:rsidR="00D72414" w:rsidRDefault="00D72414">
      <w:pPr>
        <w:pBdr>
          <w:top w:val="nil"/>
          <w:left w:val="nil"/>
          <w:bottom w:val="nil"/>
          <w:right w:val="nil"/>
          <w:between w:val="nil"/>
        </w:pBdr>
        <w:ind w:left="720"/>
        <w:rPr>
          <w:rFonts w:ascii="Arial" w:eastAsia="Arial" w:hAnsi="Arial" w:cs="Arial"/>
          <w:color w:val="000000"/>
        </w:rPr>
      </w:pP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0"/>
          <w:numId w:val="13"/>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Direct Payments to Buyer</w:t>
      </w:r>
    </w:p>
    <w:p w:rsidR="00D72414" w:rsidRDefault="00D72414">
      <w:pPr>
        <w:pBdr>
          <w:top w:val="nil"/>
          <w:left w:val="nil"/>
          <w:bottom w:val="nil"/>
          <w:right w:val="nil"/>
          <w:between w:val="nil"/>
        </w:pBdr>
        <w:ind w:left="794"/>
        <w:jc w:val="both"/>
        <w:rPr>
          <w:rFonts w:ascii="Arial" w:eastAsia="Arial" w:hAnsi="Arial" w:cs="Arial"/>
          <w:color w:val="000000"/>
          <w:sz w:val="20"/>
          <w:szCs w:val="20"/>
        </w:rPr>
      </w:pPr>
    </w:p>
    <w:p w:rsidR="00D72414" w:rsidRDefault="00C0362E">
      <w:pPr>
        <w:numPr>
          <w:ilvl w:val="1"/>
          <w:numId w:val="13"/>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Buyer will only pay Service Management Fees and DCA Commission to the Supplier and DCA Subcontractor on Direct Payments made by the Customer to the Buyer on Accounts where:</w:t>
      </w:r>
    </w:p>
    <w:p w:rsidR="00D72414" w:rsidRDefault="00D72414">
      <w:pPr>
        <w:pBdr>
          <w:top w:val="nil"/>
          <w:left w:val="nil"/>
          <w:bottom w:val="nil"/>
          <w:right w:val="nil"/>
          <w:between w:val="nil"/>
        </w:pBdr>
        <w:ind w:left="794"/>
        <w:jc w:val="both"/>
        <w:rPr>
          <w:rFonts w:ascii="Arial" w:eastAsia="Arial" w:hAnsi="Arial" w:cs="Arial"/>
          <w:color w:val="000000"/>
          <w:sz w:val="20"/>
          <w:szCs w:val="20"/>
        </w:rPr>
      </w:pPr>
    </w:p>
    <w:p w:rsidR="00D72414" w:rsidRDefault="00C0362E">
      <w:pPr>
        <w:pBdr>
          <w:top w:val="nil"/>
          <w:left w:val="nil"/>
          <w:bottom w:val="nil"/>
          <w:right w:val="nil"/>
          <w:between w:val="nil"/>
        </w:pBdr>
        <w:ind w:left="794" w:hanging="368"/>
        <w:jc w:val="both"/>
        <w:rPr>
          <w:rFonts w:ascii="Arial" w:eastAsia="Arial" w:hAnsi="Arial" w:cs="Arial"/>
          <w:color w:val="000000"/>
          <w:sz w:val="20"/>
          <w:szCs w:val="20"/>
        </w:rPr>
      </w:pPr>
      <w:r>
        <w:rPr>
          <w:rFonts w:ascii="Arial" w:eastAsia="Arial" w:hAnsi="Arial" w:cs="Arial"/>
          <w:color w:val="000000"/>
          <w:sz w:val="20"/>
          <w:szCs w:val="20"/>
        </w:rPr>
        <w:t>•</w:t>
      </w:r>
      <w:r>
        <w:rPr>
          <w:rFonts w:ascii="Arial" w:eastAsia="Arial" w:hAnsi="Arial" w:cs="Arial"/>
          <w:color w:val="000000"/>
          <w:sz w:val="20"/>
          <w:szCs w:val="20"/>
        </w:rPr>
        <w:tab/>
        <w:t>that Customer is in direct contact with the DCA Subcontractor with regard to the Placed Account; and</w:t>
      </w:r>
    </w:p>
    <w:p w:rsidR="00D72414" w:rsidRDefault="00C0362E">
      <w:pPr>
        <w:pBdr>
          <w:top w:val="nil"/>
          <w:left w:val="nil"/>
          <w:bottom w:val="nil"/>
          <w:right w:val="nil"/>
          <w:between w:val="nil"/>
        </w:pBdr>
        <w:ind w:left="794" w:hanging="368"/>
        <w:jc w:val="both"/>
        <w:rPr>
          <w:rFonts w:ascii="Arial" w:eastAsia="Arial" w:hAnsi="Arial" w:cs="Arial"/>
          <w:color w:val="000000"/>
          <w:sz w:val="20"/>
          <w:szCs w:val="20"/>
        </w:rPr>
      </w:pPr>
      <w:r>
        <w:rPr>
          <w:rFonts w:ascii="Arial" w:eastAsia="Arial" w:hAnsi="Arial" w:cs="Arial"/>
          <w:color w:val="000000"/>
          <w:sz w:val="20"/>
          <w:szCs w:val="20"/>
        </w:rPr>
        <w:t>•</w:t>
      </w:r>
      <w:r>
        <w:rPr>
          <w:rFonts w:ascii="Arial" w:eastAsia="Arial" w:hAnsi="Arial" w:cs="Arial"/>
          <w:color w:val="000000"/>
          <w:sz w:val="20"/>
          <w:szCs w:val="20"/>
        </w:rPr>
        <w:tab/>
        <w:t>the DCA Subcontractor raises a formal written request to be paid by the Buyer via the Query portal / Case Management System.</w:t>
      </w:r>
    </w:p>
    <w:p w:rsidR="00D72414" w:rsidRDefault="00D72414">
      <w:pPr>
        <w:pBdr>
          <w:top w:val="nil"/>
          <w:left w:val="nil"/>
          <w:bottom w:val="nil"/>
          <w:right w:val="nil"/>
          <w:between w:val="nil"/>
        </w:pBdr>
        <w:ind w:left="794" w:firstLine="646"/>
        <w:jc w:val="both"/>
        <w:rPr>
          <w:rFonts w:ascii="Arial" w:eastAsia="Arial" w:hAnsi="Arial" w:cs="Arial"/>
          <w:color w:val="000000"/>
          <w:sz w:val="20"/>
          <w:szCs w:val="20"/>
        </w:rPr>
      </w:pPr>
    </w:p>
    <w:p w:rsidR="00D72414" w:rsidRDefault="00C0362E">
      <w:pPr>
        <w:numPr>
          <w:ilvl w:val="1"/>
          <w:numId w:val="13"/>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Buyer will only pay Service Management Fee and DCA Commission on these Direct Payments under Paragraph 6.1 above, where both of the following requirements are met:</w:t>
      </w:r>
    </w:p>
    <w:p w:rsidR="00D72414" w:rsidRDefault="00D72414">
      <w:pPr>
        <w:pBdr>
          <w:top w:val="nil"/>
          <w:left w:val="nil"/>
          <w:bottom w:val="nil"/>
          <w:right w:val="nil"/>
          <w:between w:val="nil"/>
        </w:pBdr>
        <w:ind w:left="794"/>
        <w:jc w:val="both"/>
        <w:rPr>
          <w:rFonts w:ascii="Arial" w:eastAsia="Arial" w:hAnsi="Arial" w:cs="Arial"/>
          <w:color w:val="000000"/>
          <w:sz w:val="20"/>
          <w:szCs w:val="20"/>
        </w:rPr>
      </w:pPr>
    </w:p>
    <w:p w:rsidR="00D72414" w:rsidRDefault="00C0362E">
      <w:pPr>
        <w:pBdr>
          <w:top w:val="nil"/>
          <w:left w:val="nil"/>
          <w:bottom w:val="nil"/>
          <w:right w:val="nil"/>
          <w:between w:val="nil"/>
        </w:pBdr>
        <w:ind w:left="794" w:hanging="368"/>
        <w:jc w:val="both"/>
        <w:rPr>
          <w:rFonts w:ascii="Arial" w:eastAsia="Arial" w:hAnsi="Arial" w:cs="Arial"/>
          <w:color w:val="000000"/>
          <w:sz w:val="20"/>
          <w:szCs w:val="20"/>
        </w:rPr>
      </w:pPr>
      <w:r>
        <w:rPr>
          <w:rFonts w:ascii="Arial" w:eastAsia="Arial" w:hAnsi="Arial" w:cs="Arial"/>
          <w:color w:val="000000"/>
          <w:sz w:val="20"/>
          <w:szCs w:val="20"/>
        </w:rPr>
        <w:t>•</w:t>
      </w:r>
      <w:r>
        <w:rPr>
          <w:rFonts w:ascii="Arial" w:eastAsia="Arial" w:hAnsi="Arial" w:cs="Arial"/>
          <w:color w:val="000000"/>
          <w:sz w:val="20"/>
          <w:szCs w:val="20"/>
        </w:rPr>
        <w:tab/>
        <w:t>the Direct Payment is made more than 5 Working Days after the Placement Date of the Account with the Supplier; and</w:t>
      </w:r>
    </w:p>
    <w:p w:rsidR="00D72414" w:rsidRDefault="00C0362E">
      <w:pPr>
        <w:pBdr>
          <w:top w:val="nil"/>
          <w:left w:val="nil"/>
          <w:bottom w:val="nil"/>
          <w:right w:val="nil"/>
          <w:between w:val="nil"/>
        </w:pBdr>
        <w:ind w:left="794" w:hanging="368"/>
        <w:jc w:val="both"/>
        <w:rPr>
          <w:rFonts w:ascii="Arial" w:eastAsia="Arial" w:hAnsi="Arial" w:cs="Arial"/>
          <w:color w:val="000000"/>
          <w:sz w:val="20"/>
          <w:szCs w:val="20"/>
        </w:rPr>
      </w:pPr>
      <w:r>
        <w:rPr>
          <w:rFonts w:ascii="Arial" w:eastAsia="Arial" w:hAnsi="Arial" w:cs="Arial"/>
          <w:color w:val="000000"/>
          <w:sz w:val="20"/>
          <w:szCs w:val="20"/>
        </w:rPr>
        <w:t>•</w:t>
      </w:r>
      <w:r>
        <w:rPr>
          <w:rFonts w:ascii="Arial" w:eastAsia="Arial" w:hAnsi="Arial" w:cs="Arial"/>
          <w:color w:val="000000"/>
          <w:sz w:val="20"/>
          <w:szCs w:val="20"/>
        </w:rPr>
        <w:tab/>
        <w:t>the Account is still live with the Supplier and the Account has not been returned or a request for recall received from the Buyer.</w:t>
      </w:r>
    </w:p>
    <w:p w:rsidR="00D72414" w:rsidRDefault="00D72414">
      <w:pPr>
        <w:pBdr>
          <w:top w:val="nil"/>
          <w:left w:val="nil"/>
          <w:bottom w:val="nil"/>
          <w:right w:val="nil"/>
          <w:between w:val="nil"/>
        </w:pBdr>
        <w:ind w:left="794" w:firstLine="646"/>
        <w:jc w:val="both"/>
        <w:rPr>
          <w:rFonts w:ascii="Arial" w:eastAsia="Arial" w:hAnsi="Arial" w:cs="Arial"/>
          <w:color w:val="000000"/>
          <w:sz w:val="20"/>
          <w:szCs w:val="20"/>
        </w:rPr>
      </w:pPr>
    </w:p>
    <w:p w:rsidR="00D72414" w:rsidRDefault="00C0362E">
      <w:pPr>
        <w:numPr>
          <w:ilvl w:val="1"/>
          <w:numId w:val="13"/>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Buyer will not pay Service Management Fees or DCA Commission to the Supplier or DCA Subcontractor for any Direct Payments under this Paragraph 6 unless they fall within the criteria set out in Paragraphs 6.1 and 6.2 above.</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D72414">
      <w:pPr>
        <w:pBdr>
          <w:top w:val="nil"/>
          <w:left w:val="nil"/>
          <w:bottom w:val="nil"/>
          <w:right w:val="nil"/>
          <w:between w:val="nil"/>
        </w:pBdr>
        <w:ind w:left="1154"/>
        <w:jc w:val="both"/>
        <w:rPr>
          <w:rFonts w:ascii="Arial" w:eastAsia="Arial" w:hAnsi="Arial" w:cs="Arial"/>
          <w:color w:val="000000"/>
          <w:sz w:val="20"/>
          <w:szCs w:val="20"/>
        </w:rPr>
      </w:pPr>
    </w:p>
    <w:p w:rsidR="00D72414" w:rsidRDefault="00C0362E">
      <w:pPr>
        <w:numPr>
          <w:ilvl w:val="0"/>
          <w:numId w:val="13"/>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URN 1.0b NOT USED</w:t>
      </w:r>
    </w:p>
    <w:p w:rsidR="00D72414" w:rsidRDefault="00D72414">
      <w:pPr>
        <w:pBdr>
          <w:top w:val="nil"/>
          <w:left w:val="nil"/>
          <w:bottom w:val="nil"/>
          <w:right w:val="nil"/>
          <w:between w:val="nil"/>
        </w:pBdr>
        <w:ind w:left="794"/>
        <w:jc w:val="both"/>
        <w:rPr>
          <w:rFonts w:ascii="Arial" w:eastAsia="Arial" w:hAnsi="Arial" w:cs="Arial"/>
          <w:b/>
          <w:color w:val="000000"/>
          <w:sz w:val="20"/>
          <w:szCs w:val="20"/>
        </w:rPr>
      </w:pPr>
    </w:p>
    <w:p w:rsidR="00D72414" w:rsidRDefault="00C0362E">
      <w:pPr>
        <w:numPr>
          <w:ilvl w:val="0"/>
          <w:numId w:val="13"/>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 xml:space="preserve">URN 1.0c Collections Packaged Rate Card Services </w:t>
      </w:r>
    </w:p>
    <w:p w:rsidR="00D72414" w:rsidRDefault="00C0362E">
      <w:pPr>
        <w:numPr>
          <w:ilvl w:val="1"/>
          <w:numId w:val="13"/>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 xml:space="preserve">The Collections Packaged Rate Card Services will be calculated using the rate card at Section 3 of Annex 1 of this Schedule. The calculation will include the combined charges for each ½ Work Hour (30 mins) undertaken regarding the Services by each level of Supplier Staff seniority who actually delivered the Services within a Service Delivery Month.  </w:t>
      </w:r>
    </w:p>
    <w:p w:rsidR="00D72414" w:rsidRDefault="00D72414">
      <w:pPr>
        <w:pBdr>
          <w:top w:val="nil"/>
          <w:left w:val="nil"/>
          <w:bottom w:val="nil"/>
          <w:right w:val="nil"/>
          <w:between w:val="nil"/>
        </w:pBdr>
        <w:spacing w:before="240"/>
        <w:ind w:left="794"/>
        <w:jc w:val="both"/>
        <w:rPr>
          <w:rFonts w:ascii="Arial" w:eastAsia="Arial" w:hAnsi="Arial" w:cs="Arial"/>
          <w:sz w:val="20"/>
          <w:szCs w:val="20"/>
        </w:rPr>
      </w:pPr>
    </w:p>
    <w:p w:rsidR="00D72414" w:rsidRDefault="00C0362E">
      <w:pPr>
        <w:numPr>
          <w:ilvl w:val="0"/>
          <w:numId w:val="13"/>
        </w:num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b/>
          <w:color w:val="000000"/>
          <w:sz w:val="20"/>
          <w:szCs w:val="20"/>
        </w:rPr>
        <w:t>URN 1.0d Collections Fixed Price Debt Servicing</w:t>
      </w:r>
    </w:p>
    <w:p w:rsidR="00D72414" w:rsidRDefault="00C0362E">
      <w:pPr>
        <w:numPr>
          <w:ilvl w:val="1"/>
          <w:numId w:val="13"/>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lastRenderedPageBreak/>
        <w:t>The Collections Fixed Price charges will be calculated Monthly using the Table at Section 4 in Annex1 of this Schedule. The calculation will be the sum of the total volume of Placements made by the Buyer for this Services where Service provision has commenced in a Service Delivery Month, multiplied by the relevant charges (from the Table in Section 4) for the specified Ordered Service.</w:t>
      </w:r>
    </w:p>
    <w:p w:rsidR="00D72414" w:rsidRDefault="00D72414">
      <w:pPr>
        <w:pBdr>
          <w:top w:val="nil"/>
          <w:left w:val="nil"/>
          <w:bottom w:val="nil"/>
          <w:right w:val="nil"/>
          <w:between w:val="nil"/>
        </w:pBdr>
        <w:spacing w:before="240"/>
        <w:ind w:left="794"/>
        <w:jc w:val="both"/>
        <w:rPr>
          <w:rFonts w:ascii="Arial" w:eastAsia="Arial" w:hAnsi="Arial" w:cs="Arial"/>
          <w:b/>
          <w:color w:val="000000"/>
          <w:sz w:val="20"/>
          <w:szCs w:val="20"/>
        </w:rPr>
      </w:pPr>
    </w:p>
    <w:p w:rsidR="00D72414" w:rsidRDefault="00C0362E">
      <w:pPr>
        <w:numPr>
          <w:ilvl w:val="0"/>
          <w:numId w:val="13"/>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URN 1.0f Run-Down Portfolio Management</w:t>
      </w:r>
      <w:r>
        <w:rPr>
          <w:rFonts w:ascii="Calibri" w:eastAsia="Calibri" w:hAnsi="Calibri" w:cs="Calibri"/>
          <w:b/>
          <w:color w:val="000000"/>
        </w:rPr>
        <w:t xml:space="preserve"> (RDPM)</w:t>
      </w:r>
    </w:p>
    <w:p w:rsidR="00D72414" w:rsidRDefault="00C0362E">
      <w:pPr>
        <w:numPr>
          <w:ilvl w:val="1"/>
          <w:numId w:val="13"/>
        </w:numPr>
        <w:pBdr>
          <w:top w:val="nil"/>
          <w:left w:val="nil"/>
          <w:bottom w:val="nil"/>
          <w:right w:val="nil"/>
          <w:between w:val="nil"/>
        </w:pBdr>
        <w:spacing w:before="240"/>
        <w:ind w:left="426" w:hanging="426"/>
        <w:jc w:val="both"/>
        <w:rPr>
          <w:rFonts w:ascii="Arial" w:eastAsia="Arial" w:hAnsi="Arial" w:cs="Arial"/>
          <w:sz w:val="20"/>
          <w:szCs w:val="20"/>
        </w:rPr>
      </w:pPr>
      <w:r>
        <w:rPr>
          <w:rFonts w:ascii="Arial" w:eastAsia="Arial" w:hAnsi="Arial" w:cs="Arial"/>
          <w:sz w:val="20"/>
          <w:szCs w:val="20"/>
        </w:rPr>
        <w:t xml:space="preserve">The Charges for Run Down Portfolio Management Services shall be calculated using the Table at Section 5 of Annex 1 of this Schedule, using the methodology described in Part B Paragraphs 1.1 to 1.8 of this Schedule and will be unique to each Buyer. These Charges shall be the Service Management Fee payable by the Buyer to the Supplier for these Services. The DCA Commission Cap will remain the rate agreed within this Framework Contract. </w:t>
      </w:r>
    </w:p>
    <w:p w:rsidR="00D72414" w:rsidRDefault="00D72414">
      <w:pPr>
        <w:pBdr>
          <w:top w:val="nil"/>
          <w:left w:val="nil"/>
          <w:bottom w:val="nil"/>
          <w:right w:val="nil"/>
          <w:between w:val="nil"/>
        </w:pBdr>
        <w:spacing w:before="240"/>
        <w:jc w:val="both"/>
        <w:rPr>
          <w:rFonts w:ascii="Arial" w:eastAsia="Arial" w:hAnsi="Arial" w:cs="Arial"/>
          <w:b/>
          <w:sz w:val="20"/>
          <w:szCs w:val="20"/>
        </w:rPr>
      </w:pPr>
    </w:p>
    <w:p w:rsidR="00D72414" w:rsidRDefault="00C0362E">
      <w:pPr>
        <w:numPr>
          <w:ilvl w:val="0"/>
          <w:numId w:val="13"/>
        </w:numPr>
        <w:pBdr>
          <w:top w:val="nil"/>
          <w:left w:val="nil"/>
          <w:bottom w:val="nil"/>
          <w:right w:val="nil"/>
          <w:between w:val="nil"/>
        </w:pBdr>
        <w:spacing w:before="240"/>
        <w:jc w:val="both"/>
        <w:rPr>
          <w:rFonts w:ascii="Arial" w:eastAsia="Arial" w:hAnsi="Arial" w:cs="Arial"/>
          <w:b/>
          <w:sz w:val="20"/>
          <w:szCs w:val="20"/>
        </w:rPr>
      </w:pPr>
      <w:r>
        <w:rPr>
          <w:rFonts w:ascii="Arial" w:eastAsia="Arial" w:hAnsi="Arial" w:cs="Arial"/>
          <w:b/>
          <w:sz w:val="20"/>
          <w:szCs w:val="20"/>
        </w:rPr>
        <w:t xml:space="preserve">URN 1.0g Imported Portfolio Management </w:t>
      </w:r>
    </w:p>
    <w:p w:rsidR="00D72414" w:rsidRDefault="00C0362E">
      <w:pPr>
        <w:numPr>
          <w:ilvl w:val="1"/>
          <w:numId w:val="13"/>
        </w:numPr>
        <w:pBdr>
          <w:top w:val="nil"/>
          <w:left w:val="nil"/>
          <w:bottom w:val="nil"/>
          <w:right w:val="nil"/>
          <w:between w:val="nil"/>
        </w:pBdr>
        <w:spacing w:before="240"/>
        <w:ind w:left="426" w:hanging="426"/>
        <w:jc w:val="both"/>
        <w:rPr>
          <w:rFonts w:ascii="Arial" w:eastAsia="Arial" w:hAnsi="Arial" w:cs="Arial"/>
          <w:sz w:val="20"/>
          <w:szCs w:val="20"/>
        </w:rPr>
      </w:pPr>
      <w:r>
        <w:rPr>
          <w:rFonts w:ascii="Arial" w:eastAsia="Arial" w:hAnsi="Arial" w:cs="Arial"/>
          <w:sz w:val="20"/>
          <w:szCs w:val="20"/>
        </w:rPr>
        <w:t xml:space="preserve">The Supplier’s Charges for Imported Portfolio Management Services shall be calculated as percentage (%) of the gross value of Debt Collected by the Supplier from Customers and received by the Buyer through the Services. Any DCA Subcontractor Charges will be agreed with Buyers as part of their Call-Off Contract. </w:t>
      </w:r>
    </w:p>
    <w:p w:rsidR="00D72414" w:rsidRDefault="00D72414">
      <w:pPr>
        <w:pBdr>
          <w:top w:val="nil"/>
          <w:left w:val="nil"/>
          <w:bottom w:val="nil"/>
          <w:right w:val="nil"/>
          <w:between w:val="nil"/>
        </w:pBdr>
        <w:spacing w:before="240"/>
        <w:jc w:val="both"/>
        <w:rPr>
          <w:rFonts w:ascii="Arial" w:eastAsia="Arial" w:hAnsi="Arial" w:cs="Arial"/>
          <w:b/>
          <w:sz w:val="20"/>
          <w:szCs w:val="20"/>
        </w:rPr>
      </w:pPr>
    </w:p>
    <w:p w:rsidR="00D72414" w:rsidRDefault="00C0362E">
      <w:p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b/>
          <w:sz w:val="20"/>
          <w:szCs w:val="20"/>
        </w:rPr>
        <w:t>OPTIONAL SERVICES</w:t>
      </w:r>
    </w:p>
    <w:p w:rsidR="00D72414" w:rsidRDefault="00C0362E">
      <w:pPr>
        <w:numPr>
          <w:ilvl w:val="0"/>
          <w:numId w:val="13"/>
        </w:numPr>
        <w:pBdr>
          <w:top w:val="nil"/>
          <w:left w:val="nil"/>
          <w:bottom w:val="nil"/>
          <w:right w:val="nil"/>
          <w:between w:val="nil"/>
        </w:pBdr>
        <w:spacing w:before="240"/>
        <w:jc w:val="both"/>
        <w:rPr>
          <w:rFonts w:ascii="Arial" w:eastAsia="Arial" w:hAnsi="Arial" w:cs="Arial"/>
          <w:b/>
          <w:sz w:val="20"/>
          <w:szCs w:val="20"/>
        </w:rPr>
      </w:pPr>
      <w:r>
        <w:rPr>
          <w:rFonts w:ascii="Arial" w:eastAsia="Arial" w:hAnsi="Arial" w:cs="Arial"/>
          <w:b/>
          <w:sz w:val="20"/>
          <w:szCs w:val="20"/>
        </w:rPr>
        <w:t>URN 1.0h Integrated Service Management (Optional Service)</w:t>
      </w:r>
    </w:p>
    <w:p w:rsidR="00D72414" w:rsidRDefault="00C0362E">
      <w:pPr>
        <w:numPr>
          <w:ilvl w:val="1"/>
          <w:numId w:val="13"/>
        </w:numPr>
        <w:pBdr>
          <w:top w:val="nil"/>
          <w:left w:val="nil"/>
          <w:bottom w:val="nil"/>
          <w:right w:val="nil"/>
          <w:between w:val="nil"/>
        </w:pBdr>
        <w:spacing w:before="240"/>
        <w:ind w:left="426" w:hanging="426"/>
        <w:jc w:val="both"/>
        <w:rPr>
          <w:rFonts w:ascii="Arial" w:eastAsia="Arial" w:hAnsi="Arial" w:cs="Arial"/>
          <w:sz w:val="20"/>
          <w:szCs w:val="20"/>
        </w:rPr>
      </w:pPr>
      <w:r>
        <w:rPr>
          <w:rFonts w:ascii="Arial" w:eastAsia="Arial" w:hAnsi="Arial" w:cs="Arial"/>
          <w:sz w:val="20"/>
          <w:szCs w:val="20"/>
        </w:rPr>
        <w:t>The Charges for this Service shall be calculated as a percentage (%) of gross Debt Collected and Paid-Over to the Buyer, calculated using the Table at Section 7 at Annex 2 of Part B to this Schedule. This is a Capped Price for the Supplier agreeing to management any other service requirements that the Buyer requires the Supplier to provide.</w:t>
      </w:r>
    </w:p>
    <w:p w:rsidR="00D72414" w:rsidRDefault="00C0362E">
      <w:pPr>
        <w:numPr>
          <w:ilvl w:val="0"/>
          <w:numId w:val="13"/>
        </w:numPr>
        <w:pBdr>
          <w:top w:val="nil"/>
          <w:left w:val="nil"/>
          <w:bottom w:val="nil"/>
          <w:right w:val="nil"/>
          <w:between w:val="nil"/>
        </w:pBdr>
        <w:spacing w:before="240"/>
        <w:jc w:val="both"/>
        <w:rPr>
          <w:rFonts w:ascii="Arial" w:eastAsia="Arial" w:hAnsi="Arial" w:cs="Arial"/>
          <w:b/>
          <w:sz w:val="20"/>
          <w:szCs w:val="20"/>
        </w:rPr>
      </w:pPr>
      <w:r>
        <w:rPr>
          <w:rFonts w:ascii="Arial" w:eastAsia="Arial" w:hAnsi="Arial" w:cs="Arial"/>
          <w:b/>
          <w:sz w:val="20"/>
          <w:szCs w:val="20"/>
        </w:rPr>
        <w:t>International Collections</w:t>
      </w:r>
    </w:p>
    <w:p w:rsidR="00D72414" w:rsidRDefault="00C0362E">
      <w:pPr>
        <w:numPr>
          <w:ilvl w:val="1"/>
          <w:numId w:val="13"/>
        </w:numPr>
        <w:pBdr>
          <w:top w:val="nil"/>
          <w:left w:val="nil"/>
          <w:bottom w:val="nil"/>
          <w:right w:val="nil"/>
          <w:between w:val="nil"/>
        </w:pBdr>
        <w:spacing w:before="240"/>
        <w:ind w:left="426" w:hanging="426"/>
        <w:jc w:val="both"/>
        <w:rPr>
          <w:rFonts w:ascii="Arial" w:eastAsia="Arial" w:hAnsi="Arial" w:cs="Arial"/>
          <w:sz w:val="20"/>
          <w:szCs w:val="20"/>
        </w:rPr>
      </w:pPr>
      <w:r>
        <w:rPr>
          <w:rFonts w:ascii="Arial" w:eastAsia="Arial" w:hAnsi="Arial" w:cs="Arial"/>
          <w:sz w:val="20"/>
          <w:szCs w:val="20"/>
        </w:rPr>
        <w:t>The charges for International Collection Services shall be either a Unit Price or a Commission Charge, selected at the discretion of the Buyer. The Supplier should provide a pricing model at Section 8 in Annex 2 of this Part A.</w:t>
      </w:r>
    </w:p>
    <w:p w:rsidR="00D72414" w:rsidRDefault="00D72414">
      <w:pPr>
        <w:rPr>
          <w:rFonts w:ascii="Arial" w:eastAsia="Arial" w:hAnsi="Arial" w:cs="Arial"/>
          <w:sz w:val="20"/>
          <w:szCs w:val="20"/>
        </w:rPr>
      </w:pPr>
    </w:p>
    <w:p w:rsidR="00D72414" w:rsidRDefault="00D72414">
      <w:pPr>
        <w:rPr>
          <w:rFonts w:ascii="Arial" w:eastAsia="Arial" w:hAnsi="Arial" w:cs="Arial"/>
          <w:sz w:val="20"/>
          <w:szCs w:val="20"/>
        </w:rPr>
      </w:pPr>
    </w:p>
    <w:p w:rsidR="00D72414" w:rsidRDefault="00D72414">
      <w:pPr>
        <w:rPr>
          <w:rFonts w:ascii="Arial" w:eastAsia="Arial" w:hAnsi="Arial" w:cs="Arial"/>
          <w:sz w:val="20"/>
          <w:szCs w:val="20"/>
        </w:rPr>
      </w:pPr>
    </w:p>
    <w:p w:rsidR="00D72414" w:rsidRDefault="00D72414">
      <w:pPr>
        <w:rPr>
          <w:rFonts w:ascii="Arial" w:eastAsia="Arial" w:hAnsi="Arial" w:cs="Arial"/>
          <w:b/>
          <w:sz w:val="32"/>
          <w:szCs w:val="32"/>
        </w:rPr>
      </w:pPr>
    </w:p>
    <w:p w:rsidR="00D72414" w:rsidRDefault="00D72414">
      <w:pPr>
        <w:rPr>
          <w:rFonts w:ascii="Arial" w:eastAsia="Arial" w:hAnsi="Arial" w:cs="Arial"/>
          <w:b/>
          <w:sz w:val="32"/>
          <w:szCs w:val="32"/>
        </w:rPr>
      </w:pPr>
    </w:p>
    <w:p w:rsidR="00D72414" w:rsidRDefault="00C0362E">
      <w:pPr>
        <w:jc w:val="center"/>
        <w:rPr>
          <w:rFonts w:ascii="Arial" w:eastAsia="Arial" w:hAnsi="Arial" w:cs="Arial"/>
          <w:b/>
          <w:sz w:val="32"/>
          <w:szCs w:val="32"/>
        </w:rPr>
      </w:pPr>
      <w:r>
        <w:rPr>
          <w:rFonts w:ascii="Arial" w:eastAsia="Arial" w:hAnsi="Arial" w:cs="Arial"/>
          <w:b/>
          <w:sz w:val="32"/>
          <w:szCs w:val="32"/>
        </w:rPr>
        <w:t>Annex 1</w:t>
      </w:r>
    </w:p>
    <w:p w:rsidR="00180297" w:rsidRDefault="00180297" w:rsidP="007E6963">
      <w:pPr>
        <w:rPr>
          <w:rFonts w:ascii="Arial" w:eastAsia="Arial" w:hAnsi="Arial" w:cs="Arial"/>
          <w:b/>
          <w:sz w:val="32"/>
          <w:szCs w:val="32"/>
        </w:rPr>
      </w:pPr>
    </w:p>
    <w:p w:rsidR="00180297" w:rsidRDefault="00180297" w:rsidP="00AE3BF5">
      <w:pPr>
        <w:rPr>
          <w:rFonts w:ascii="Arial" w:eastAsia="Arial" w:hAnsi="Arial" w:cs="Arial"/>
          <w:sz w:val="32"/>
          <w:szCs w:val="32"/>
        </w:rPr>
      </w:pPr>
      <w:r>
        <w:rPr>
          <w:rFonts w:ascii="Arial" w:eastAsia="Arial" w:hAnsi="Arial" w:cs="Arial"/>
          <w:sz w:val="32"/>
          <w:szCs w:val="32"/>
        </w:rPr>
        <w:t>Pricing Documents Here</w:t>
      </w:r>
      <w:r w:rsidR="000F0D82">
        <w:rPr>
          <w:rFonts w:ascii="Arial" w:eastAsia="Arial" w:hAnsi="Arial" w:cs="Arial"/>
          <w:sz w:val="32"/>
          <w:szCs w:val="32"/>
        </w:rPr>
        <w:t xml:space="preserve"> for Lot</w:t>
      </w:r>
      <w:r w:rsidR="001C4F5E">
        <w:rPr>
          <w:rFonts w:ascii="Arial" w:eastAsia="Arial" w:hAnsi="Arial" w:cs="Arial"/>
          <w:sz w:val="32"/>
          <w:szCs w:val="32"/>
        </w:rPr>
        <w:t xml:space="preserve">s </w:t>
      </w:r>
      <w:r w:rsidR="00AE3BF5">
        <w:rPr>
          <w:rFonts w:ascii="Arial" w:eastAsia="Arial" w:hAnsi="Arial" w:cs="Arial"/>
          <w:sz w:val="32"/>
          <w:szCs w:val="32"/>
        </w:rPr>
        <w:t>REDACTED:</w:t>
      </w:r>
    </w:p>
    <w:p w:rsidR="00AE3BF5" w:rsidRDefault="00AE3BF5" w:rsidP="00AE3BF5">
      <w:pPr>
        <w:rPr>
          <w:rFonts w:ascii="Arial" w:eastAsia="Arial" w:hAnsi="Arial" w:cs="Arial"/>
          <w:sz w:val="32"/>
          <w:szCs w:val="32"/>
        </w:rPr>
      </w:pPr>
    </w:p>
    <w:p w:rsidR="00AE3BF5" w:rsidRDefault="00AE3BF5" w:rsidP="00AE3BF5">
      <w:pPr>
        <w:rPr>
          <w:rFonts w:ascii="Arial" w:eastAsia="Arial" w:hAnsi="Arial" w:cs="Arial"/>
          <w:sz w:val="32"/>
          <w:szCs w:val="32"/>
        </w:rPr>
      </w:pPr>
      <w:r>
        <w:rPr>
          <w:rFonts w:ascii="Arial" w:eastAsia="Arial" w:hAnsi="Arial" w:cs="Arial"/>
          <w:sz w:val="32"/>
          <w:szCs w:val="32"/>
        </w:rPr>
        <w:t>REDACTED</w:t>
      </w:r>
      <w:bookmarkStart w:id="3" w:name="_GoBack"/>
      <w:bookmarkEnd w:id="3"/>
    </w:p>
    <w:p w:rsidR="000F0D82" w:rsidRDefault="000F0D82" w:rsidP="007E6963">
      <w:pPr>
        <w:rPr>
          <w:rFonts w:ascii="Arial" w:eastAsia="Arial" w:hAnsi="Arial" w:cs="Arial"/>
          <w:sz w:val="32"/>
          <w:szCs w:val="32"/>
        </w:rPr>
      </w:pPr>
    </w:p>
    <w:p w:rsidR="000F0D82" w:rsidRDefault="00595032" w:rsidP="007E6963">
      <w:pPr>
        <w:rPr>
          <w:rFonts w:ascii="Arial" w:eastAsia="Arial" w:hAnsi="Arial" w:cs="Arial"/>
          <w:sz w:val="32"/>
          <w:szCs w:val="32"/>
        </w:rPr>
      </w:pPr>
      <w:r>
        <w:rPr>
          <w:rFonts w:ascii="Arial" w:eastAsia="Arial" w:hAnsi="Arial" w:cs="Arial"/>
          <w:sz w:val="32"/>
          <w:szCs w:val="32"/>
        </w:rPr>
        <w:t>For your information</w:t>
      </w:r>
      <w:r w:rsidR="00A23733">
        <w:rPr>
          <w:rFonts w:ascii="Arial" w:eastAsia="Arial" w:hAnsi="Arial" w:cs="Arial"/>
          <w:sz w:val="32"/>
          <w:szCs w:val="32"/>
        </w:rPr>
        <w:t xml:space="preserve"> the above Pricing Schedules are included</w:t>
      </w:r>
      <w:r w:rsidR="000F0D82">
        <w:rPr>
          <w:rFonts w:ascii="Arial" w:eastAsia="Arial" w:hAnsi="Arial" w:cs="Arial"/>
          <w:sz w:val="32"/>
          <w:szCs w:val="32"/>
        </w:rPr>
        <w:t xml:space="preserve"> </w:t>
      </w:r>
      <w:r w:rsidR="00A23733">
        <w:rPr>
          <w:rFonts w:ascii="Arial" w:eastAsia="Arial" w:hAnsi="Arial" w:cs="Arial"/>
          <w:sz w:val="32"/>
          <w:szCs w:val="32"/>
        </w:rPr>
        <w:t>with</w:t>
      </w:r>
      <w:r w:rsidR="000F0D82">
        <w:rPr>
          <w:rFonts w:ascii="Arial" w:eastAsia="Arial" w:hAnsi="Arial" w:cs="Arial"/>
          <w:sz w:val="32"/>
          <w:szCs w:val="32"/>
        </w:rPr>
        <w:t>in the Embedded Documents folder</w:t>
      </w:r>
    </w:p>
    <w:p w:rsidR="00180297" w:rsidRPr="007E6963" w:rsidRDefault="00180297" w:rsidP="007E6963">
      <w:pPr>
        <w:rPr>
          <w:rFonts w:ascii="Arial" w:eastAsia="Arial" w:hAnsi="Arial" w:cs="Arial"/>
          <w:sz w:val="32"/>
          <w:szCs w:val="32"/>
        </w:rPr>
      </w:pPr>
    </w:p>
    <w:p w:rsidR="00D72414" w:rsidRDefault="00D72414">
      <w:pPr>
        <w:rPr>
          <w:rFonts w:ascii="Arial" w:eastAsia="Arial" w:hAnsi="Arial" w:cs="Arial"/>
          <w:b/>
          <w:u w:val="single"/>
        </w:rPr>
      </w:pPr>
    </w:p>
    <w:p w:rsidR="00D72414" w:rsidRDefault="00C0362E">
      <w:pPr>
        <w:ind w:left="567" w:hanging="567"/>
        <w:rPr>
          <w:rFonts w:ascii="Arial" w:eastAsia="Arial" w:hAnsi="Arial" w:cs="Arial"/>
          <w:b/>
          <w:u w:val="single"/>
        </w:rPr>
      </w:pPr>
      <w:r>
        <w:rPr>
          <w:rFonts w:ascii="Arial" w:eastAsia="Arial" w:hAnsi="Arial" w:cs="Arial"/>
          <w:b/>
          <w:u w:val="single"/>
        </w:rPr>
        <w:t>Section 1</w:t>
      </w:r>
    </w:p>
    <w:p w:rsidR="00D72414" w:rsidRDefault="00D72414">
      <w:pPr>
        <w:rPr>
          <w:rFonts w:ascii="Arial" w:eastAsia="Arial" w:hAnsi="Arial" w:cs="Arial"/>
          <w:b/>
          <w:u w:val="single"/>
        </w:rPr>
      </w:pPr>
    </w:p>
    <w:p w:rsidR="00D72414" w:rsidRDefault="00C0362E">
      <w:pPr>
        <w:numPr>
          <w:ilvl w:val="0"/>
          <w:numId w:val="11"/>
        </w:num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URN 1.0a Managed Debt Collection Services</w:t>
      </w:r>
    </w:p>
    <w:p w:rsidR="00D72414" w:rsidRDefault="00D72414">
      <w:pPr>
        <w:rPr>
          <w:rFonts w:ascii="Arial" w:eastAsia="Arial" w:hAnsi="Arial" w:cs="Arial"/>
          <w:b/>
          <w:sz w:val="32"/>
          <w:szCs w:val="32"/>
        </w:rPr>
      </w:pPr>
    </w:p>
    <w:p w:rsidR="00D72414" w:rsidRDefault="00C0362E">
      <w:pPr>
        <w:rPr>
          <w:rFonts w:ascii="Arial" w:eastAsia="Arial" w:hAnsi="Arial" w:cs="Arial"/>
          <w:b/>
          <w:sz w:val="22"/>
          <w:szCs w:val="22"/>
        </w:rPr>
      </w:pPr>
      <w:r>
        <w:rPr>
          <w:rFonts w:ascii="Arial" w:eastAsia="Arial" w:hAnsi="Arial" w:cs="Arial"/>
          <w:b/>
          <w:sz w:val="22"/>
          <w:szCs w:val="22"/>
        </w:rPr>
        <w:t>Customer A - Her Majesty’s Revenue and Customs (HMRC)</w:t>
      </w:r>
    </w:p>
    <w:p w:rsidR="00D72414" w:rsidRDefault="00D72414">
      <w:pPr>
        <w:rPr>
          <w:rFonts w:ascii="Arial" w:eastAsia="Arial" w:hAnsi="Arial" w:cs="Arial"/>
          <w:b/>
          <w:sz w:val="22"/>
          <w:szCs w:val="22"/>
        </w:rPr>
      </w:pPr>
    </w:p>
    <w:tbl>
      <w:tblPr>
        <w:tblStyle w:val="afff7"/>
        <w:tblW w:w="13318"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880"/>
        <w:gridCol w:w="1883"/>
        <w:gridCol w:w="1883"/>
        <w:gridCol w:w="1883"/>
        <w:gridCol w:w="1883"/>
        <w:gridCol w:w="1883"/>
        <w:gridCol w:w="2023"/>
      </w:tblGrid>
      <w:tr w:rsidR="00D72414">
        <w:trPr>
          <w:gridAfter w:val="5"/>
          <w:wAfter w:w="9555" w:type="dxa"/>
          <w:trHeight w:val="1364"/>
        </w:trPr>
        <w:tc>
          <w:tcPr>
            <w:tcW w:w="1881" w:type="dxa"/>
          </w:tcPr>
          <w:p w:rsidR="00D72414" w:rsidRDefault="00C0362E">
            <w:pPr>
              <w:rPr>
                <w:rFonts w:ascii="Arial" w:eastAsia="Arial" w:hAnsi="Arial" w:cs="Arial"/>
                <w:color w:val="FF0000"/>
                <w:sz w:val="20"/>
                <w:szCs w:val="20"/>
              </w:rPr>
            </w:pPr>
            <w:r>
              <w:rPr>
                <w:rFonts w:ascii="Arial" w:eastAsia="Arial" w:hAnsi="Arial" w:cs="Arial"/>
                <w:b/>
                <w:sz w:val="20"/>
                <w:szCs w:val="20"/>
              </w:rPr>
              <w:t>Service Management Fee % (Shall be the same across all Debt Types)</w:t>
            </w:r>
          </w:p>
        </w:tc>
        <w:tc>
          <w:tcPr>
            <w:tcW w:w="1883" w:type="dxa"/>
          </w:tcPr>
          <w:p w:rsidR="00D72414" w:rsidRDefault="00D72414">
            <w:pPr>
              <w:rPr>
                <w:rFonts w:ascii="Arial" w:eastAsia="Arial" w:hAnsi="Arial" w:cs="Arial"/>
                <w:b/>
                <w:sz w:val="20"/>
                <w:szCs w:val="20"/>
              </w:rPr>
            </w:pPr>
          </w:p>
        </w:tc>
      </w:tr>
      <w:tr w:rsidR="00D72414">
        <w:trPr>
          <w:trHeight w:val="909"/>
        </w:trPr>
        <w:tc>
          <w:tcPr>
            <w:tcW w:w="1881" w:type="dxa"/>
          </w:tcPr>
          <w:p w:rsidR="00D72414" w:rsidRDefault="00C0362E">
            <w:pPr>
              <w:rPr>
                <w:rFonts w:ascii="Arial" w:eastAsia="Arial" w:hAnsi="Arial" w:cs="Arial"/>
                <w:b/>
                <w:sz w:val="20"/>
                <w:szCs w:val="20"/>
              </w:rPr>
            </w:pPr>
            <w:bookmarkStart w:id="4" w:name="_heading=h.3znysh7" w:colFirst="0" w:colLast="0"/>
            <w:bookmarkEnd w:id="4"/>
            <w:r>
              <w:rPr>
                <w:rFonts w:ascii="Arial" w:eastAsia="Arial" w:hAnsi="Arial" w:cs="Arial"/>
                <w:b/>
                <w:sz w:val="20"/>
                <w:szCs w:val="20"/>
              </w:rPr>
              <w:t>Service Management Fee Revenue (i.e. Charges less DCA Commission Charges)</w:t>
            </w: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&lt;£5m</w:t>
            </w: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£5m - &lt;£7.5m</w:t>
            </w: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£7.5m - &lt;£10m</w:t>
            </w: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£10m- &gt;£12.5m</w:t>
            </w: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£12m - &lt;£15m</w:t>
            </w:r>
          </w:p>
        </w:tc>
        <w:tc>
          <w:tcPr>
            <w:tcW w:w="2023" w:type="dxa"/>
          </w:tcPr>
          <w:p w:rsidR="00D72414" w:rsidRDefault="00C0362E">
            <w:pPr>
              <w:rPr>
                <w:rFonts w:ascii="Arial" w:eastAsia="Arial" w:hAnsi="Arial" w:cs="Arial"/>
                <w:b/>
                <w:sz w:val="20"/>
                <w:szCs w:val="20"/>
              </w:rPr>
            </w:pPr>
            <w:r>
              <w:rPr>
                <w:rFonts w:ascii="Arial" w:eastAsia="Arial" w:hAnsi="Arial" w:cs="Arial"/>
                <w:b/>
                <w:sz w:val="20"/>
                <w:szCs w:val="20"/>
              </w:rPr>
              <w:t>£15m&gt;</w:t>
            </w:r>
          </w:p>
        </w:tc>
      </w:tr>
      <w:tr w:rsidR="00D72414">
        <w:trPr>
          <w:trHeight w:val="911"/>
        </w:trPr>
        <w:tc>
          <w:tcPr>
            <w:tcW w:w="1881" w:type="dxa"/>
          </w:tcPr>
          <w:p w:rsidR="00D72414" w:rsidRDefault="00C0362E">
            <w:pPr>
              <w:rPr>
                <w:rFonts w:ascii="Arial" w:eastAsia="Arial" w:hAnsi="Arial" w:cs="Arial"/>
                <w:b/>
                <w:sz w:val="20"/>
                <w:szCs w:val="20"/>
              </w:rPr>
            </w:pPr>
            <w:r>
              <w:rPr>
                <w:rFonts w:ascii="Arial" w:eastAsia="Arial" w:hAnsi="Arial" w:cs="Arial"/>
                <w:b/>
                <w:sz w:val="20"/>
                <w:szCs w:val="20"/>
              </w:rPr>
              <w:lastRenderedPageBreak/>
              <w:t xml:space="preserve">Service Management Fee </w:t>
            </w:r>
          </w:p>
          <w:p w:rsidR="00D72414" w:rsidRDefault="00D72414">
            <w:pPr>
              <w:jc w:val="center"/>
              <w:rPr>
                <w:rFonts w:ascii="Arial" w:eastAsia="Arial" w:hAnsi="Arial" w:cs="Arial"/>
                <w:b/>
                <w:sz w:val="20"/>
                <w:szCs w:val="20"/>
              </w:rPr>
            </w:pPr>
          </w:p>
        </w:tc>
        <w:tc>
          <w:tcPr>
            <w:tcW w:w="1883" w:type="dxa"/>
          </w:tcPr>
          <w:p w:rsidR="00D72414" w:rsidRDefault="00C0362E">
            <w:pPr>
              <w:rPr>
                <w:rFonts w:ascii="Arial" w:eastAsia="Arial" w:hAnsi="Arial" w:cs="Arial"/>
                <w:sz w:val="20"/>
                <w:szCs w:val="20"/>
              </w:rPr>
            </w:pPr>
            <w:r>
              <w:rPr>
                <w:rFonts w:ascii="Arial" w:eastAsia="Arial" w:hAnsi="Arial" w:cs="Arial"/>
                <w:sz w:val="20"/>
                <w:szCs w:val="20"/>
              </w:rPr>
              <w:t>%</w:t>
            </w: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 xml:space="preserve">% </w:t>
            </w: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2023" w:type="dxa"/>
          </w:tcPr>
          <w:p w:rsidR="00D72414" w:rsidRDefault="00C0362E">
            <w:pPr>
              <w:rPr>
                <w:rFonts w:ascii="Arial" w:eastAsia="Arial" w:hAnsi="Arial" w:cs="Arial"/>
                <w:b/>
                <w:sz w:val="20"/>
                <w:szCs w:val="20"/>
              </w:rPr>
            </w:pPr>
            <w:r>
              <w:rPr>
                <w:rFonts w:ascii="Arial" w:eastAsia="Arial" w:hAnsi="Arial" w:cs="Arial"/>
                <w:b/>
                <w:sz w:val="20"/>
                <w:szCs w:val="20"/>
              </w:rPr>
              <w:t>%</w:t>
            </w:r>
          </w:p>
        </w:tc>
      </w:tr>
      <w:tr w:rsidR="00D72414">
        <w:trPr>
          <w:trHeight w:val="1137"/>
        </w:trPr>
        <w:tc>
          <w:tcPr>
            <w:tcW w:w="1881" w:type="dxa"/>
          </w:tcPr>
          <w:p w:rsidR="00D72414" w:rsidRDefault="00C0362E">
            <w:pPr>
              <w:rPr>
                <w:rFonts w:ascii="Arial" w:eastAsia="Arial" w:hAnsi="Arial" w:cs="Arial"/>
                <w:b/>
                <w:sz w:val="20"/>
                <w:szCs w:val="20"/>
              </w:rPr>
            </w:pPr>
            <w:r>
              <w:rPr>
                <w:rFonts w:ascii="Arial" w:eastAsia="Arial" w:hAnsi="Arial" w:cs="Arial"/>
                <w:b/>
                <w:sz w:val="20"/>
                <w:szCs w:val="20"/>
              </w:rPr>
              <w:t>Guidance</w:t>
            </w:r>
          </w:p>
        </w:tc>
        <w:tc>
          <w:tcPr>
            <w:tcW w:w="1883" w:type="dxa"/>
          </w:tcPr>
          <w:p w:rsidR="00D72414" w:rsidRDefault="00D72414">
            <w:pPr>
              <w:rPr>
                <w:rFonts w:ascii="Arial" w:eastAsia="Arial" w:hAnsi="Arial" w:cs="Arial"/>
                <w:sz w:val="20"/>
                <w:szCs w:val="20"/>
              </w:rPr>
            </w:pP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2023" w:type="dxa"/>
          </w:tcPr>
          <w:p w:rsidR="00D72414" w:rsidRDefault="00D72414">
            <w:pPr>
              <w:rPr>
                <w:rFonts w:ascii="Arial" w:eastAsia="Arial" w:hAnsi="Arial" w:cs="Arial"/>
                <w:b/>
                <w:sz w:val="20"/>
                <w:szCs w:val="20"/>
              </w:rPr>
            </w:pPr>
          </w:p>
        </w:tc>
      </w:tr>
      <w:tr w:rsidR="00D72414">
        <w:trPr>
          <w:trHeight w:val="227"/>
        </w:trPr>
        <w:tc>
          <w:tcPr>
            <w:tcW w:w="1881" w:type="dxa"/>
            <w:shd w:val="clear" w:color="auto" w:fill="000000"/>
          </w:tcPr>
          <w:p w:rsidR="00D72414" w:rsidRDefault="00D72414">
            <w:pPr>
              <w:rPr>
                <w:rFonts w:ascii="Arial" w:eastAsia="Arial" w:hAnsi="Arial" w:cs="Arial"/>
                <w:b/>
                <w:sz w:val="20"/>
                <w:szCs w:val="20"/>
              </w:rPr>
            </w:pPr>
          </w:p>
        </w:tc>
        <w:tc>
          <w:tcPr>
            <w:tcW w:w="1883" w:type="dxa"/>
            <w:shd w:val="clear" w:color="auto" w:fill="000000"/>
          </w:tcPr>
          <w:p w:rsidR="00D72414" w:rsidRDefault="00D72414">
            <w:pPr>
              <w:rPr>
                <w:rFonts w:ascii="Arial" w:eastAsia="Arial" w:hAnsi="Arial" w:cs="Arial"/>
                <w:b/>
                <w:sz w:val="20"/>
                <w:szCs w:val="20"/>
              </w:rPr>
            </w:pPr>
          </w:p>
        </w:tc>
        <w:tc>
          <w:tcPr>
            <w:tcW w:w="1883" w:type="dxa"/>
            <w:shd w:val="clear" w:color="auto" w:fill="000000"/>
          </w:tcPr>
          <w:p w:rsidR="00D72414" w:rsidRDefault="00D72414">
            <w:pPr>
              <w:rPr>
                <w:rFonts w:ascii="Arial" w:eastAsia="Arial" w:hAnsi="Arial" w:cs="Arial"/>
                <w:b/>
                <w:sz w:val="20"/>
                <w:szCs w:val="20"/>
              </w:rPr>
            </w:pPr>
          </w:p>
        </w:tc>
        <w:tc>
          <w:tcPr>
            <w:tcW w:w="1883" w:type="dxa"/>
            <w:shd w:val="clear" w:color="auto" w:fill="000000"/>
          </w:tcPr>
          <w:p w:rsidR="00D72414" w:rsidRDefault="00D72414">
            <w:pPr>
              <w:rPr>
                <w:rFonts w:ascii="Arial" w:eastAsia="Arial" w:hAnsi="Arial" w:cs="Arial"/>
                <w:b/>
                <w:sz w:val="20"/>
                <w:szCs w:val="20"/>
              </w:rPr>
            </w:pPr>
          </w:p>
        </w:tc>
        <w:tc>
          <w:tcPr>
            <w:tcW w:w="1883" w:type="dxa"/>
            <w:shd w:val="clear" w:color="auto" w:fill="000000"/>
          </w:tcPr>
          <w:p w:rsidR="00D72414" w:rsidRDefault="00D72414">
            <w:pPr>
              <w:rPr>
                <w:rFonts w:ascii="Arial" w:eastAsia="Arial" w:hAnsi="Arial" w:cs="Arial"/>
                <w:b/>
                <w:sz w:val="20"/>
                <w:szCs w:val="20"/>
              </w:rPr>
            </w:pPr>
          </w:p>
        </w:tc>
        <w:tc>
          <w:tcPr>
            <w:tcW w:w="1883" w:type="dxa"/>
            <w:shd w:val="clear" w:color="auto" w:fill="000000"/>
          </w:tcPr>
          <w:p w:rsidR="00D72414" w:rsidRDefault="00D72414">
            <w:pPr>
              <w:rPr>
                <w:rFonts w:ascii="Arial" w:eastAsia="Arial" w:hAnsi="Arial" w:cs="Arial"/>
                <w:b/>
                <w:sz w:val="20"/>
                <w:szCs w:val="20"/>
              </w:rPr>
            </w:pPr>
          </w:p>
        </w:tc>
        <w:tc>
          <w:tcPr>
            <w:tcW w:w="2023" w:type="dxa"/>
            <w:shd w:val="clear" w:color="auto" w:fill="000000"/>
          </w:tcPr>
          <w:p w:rsidR="00D72414" w:rsidRDefault="00D72414">
            <w:pPr>
              <w:rPr>
                <w:rFonts w:ascii="Arial" w:eastAsia="Arial" w:hAnsi="Arial" w:cs="Arial"/>
                <w:b/>
                <w:sz w:val="20"/>
                <w:szCs w:val="20"/>
              </w:rPr>
            </w:pPr>
          </w:p>
        </w:tc>
      </w:tr>
      <w:tr w:rsidR="00D72414">
        <w:trPr>
          <w:trHeight w:val="454"/>
        </w:trPr>
        <w:tc>
          <w:tcPr>
            <w:tcW w:w="1881" w:type="dxa"/>
            <w:shd w:val="clear" w:color="auto" w:fill="000000"/>
          </w:tcPr>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tc>
        <w:tc>
          <w:tcPr>
            <w:tcW w:w="1883" w:type="dxa"/>
            <w:shd w:val="clear" w:color="auto" w:fill="000000"/>
          </w:tcPr>
          <w:p w:rsidR="00D72414" w:rsidRDefault="00D72414">
            <w:pPr>
              <w:rPr>
                <w:rFonts w:ascii="Arial" w:eastAsia="Arial" w:hAnsi="Arial" w:cs="Arial"/>
                <w:b/>
                <w:sz w:val="20"/>
                <w:szCs w:val="20"/>
              </w:rPr>
            </w:pPr>
          </w:p>
        </w:tc>
        <w:tc>
          <w:tcPr>
            <w:tcW w:w="1883" w:type="dxa"/>
            <w:shd w:val="clear" w:color="auto" w:fill="000000"/>
          </w:tcPr>
          <w:p w:rsidR="00D72414" w:rsidRDefault="00D72414">
            <w:pPr>
              <w:rPr>
                <w:rFonts w:ascii="Arial" w:eastAsia="Arial" w:hAnsi="Arial" w:cs="Arial"/>
                <w:b/>
                <w:sz w:val="20"/>
                <w:szCs w:val="20"/>
              </w:rPr>
            </w:pPr>
          </w:p>
        </w:tc>
        <w:tc>
          <w:tcPr>
            <w:tcW w:w="1883" w:type="dxa"/>
            <w:shd w:val="clear" w:color="auto" w:fill="000000"/>
          </w:tcPr>
          <w:p w:rsidR="00D72414" w:rsidRDefault="00D72414">
            <w:pPr>
              <w:rPr>
                <w:rFonts w:ascii="Arial" w:eastAsia="Arial" w:hAnsi="Arial" w:cs="Arial"/>
                <w:b/>
                <w:sz w:val="20"/>
                <w:szCs w:val="20"/>
              </w:rPr>
            </w:pPr>
          </w:p>
        </w:tc>
        <w:tc>
          <w:tcPr>
            <w:tcW w:w="1883" w:type="dxa"/>
            <w:shd w:val="clear" w:color="auto" w:fill="000000"/>
          </w:tcPr>
          <w:p w:rsidR="00D72414" w:rsidRDefault="00D72414">
            <w:pPr>
              <w:rPr>
                <w:rFonts w:ascii="Arial" w:eastAsia="Arial" w:hAnsi="Arial" w:cs="Arial"/>
                <w:b/>
                <w:sz w:val="20"/>
                <w:szCs w:val="20"/>
              </w:rPr>
            </w:pPr>
          </w:p>
        </w:tc>
        <w:tc>
          <w:tcPr>
            <w:tcW w:w="1883" w:type="dxa"/>
            <w:shd w:val="clear" w:color="auto" w:fill="000000"/>
          </w:tcPr>
          <w:p w:rsidR="00D72414" w:rsidRDefault="00D72414">
            <w:pPr>
              <w:rPr>
                <w:rFonts w:ascii="Arial" w:eastAsia="Arial" w:hAnsi="Arial" w:cs="Arial"/>
                <w:b/>
                <w:sz w:val="20"/>
                <w:szCs w:val="20"/>
              </w:rPr>
            </w:pPr>
          </w:p>
        </w:tc>
        <w:tc>
          <w:tcPr>
            <w:tcW w:w="2023" w:type="dxa"/>
            <w:shd w:val="clear" w:color="auto" w:fill="000000"/>
          </w:tcPr>
          <w:p w:rsidR="00D72414" w:rsidRDefault="00D72414">
            <w:pPr>
              <w:rPr>
                <w:rFonts w:ascii="Arial" w:eastAsia="Arial" w:hAnsi="Arial" w:cs="Arial"/>
                <w:b/>
                <w:sz w:val="20"/>
                <w:szCs w:val="20"/>
              </w:rPr>
            </w:pPr>
          </w:p>
        </w:tc>
      </w:tr>
      <w:tr w:rsidR="00D72414">
        <w:trPr>
          <w:gridAfter w:val="1"/>
          <w:wAfter w:w="2023" w:type="dxa"/>
          <w:trHeight w:val="227"/>
        </w:trPr>
        <w:tc>
          <w:tcPr>
            <w:tcW w:w="1881"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Debt Type</w:t>
            </w:r>
          </w:p>
        </w:tc>
        <w:tc>
          <w:tcPr>
            <w:tcW w:w="1883"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Self-Assessment (SA)</w:t>
            </w:r>
          </w:p>
        </w:tc>
        <w:tc>
          <w:tcPr>
            <w:tcW w:w="1883"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Corporation tax (CT)</w:t>
            </w:r>
          </w:p>
        </w:tc>
        <w:tc>
          <w:tcPr>
            <w:tcW w:w="1883"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Pay as You Earn (PAYE)</w:t>
            </w:r>
          </w:p>
        </w:tc>
        <w:tc>
          <w:tcPr>
            <w:tcW w:w="1883"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Tax credits (TC)</w:t>
            </w:r>
          </w:p>
        </w:tc>
        <w:tc>
          <w:tcPr>
            <w:tcW w:w="1883"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Value Added Tax (VAT)</w:t>
            </w:r>
          </w:p>
        </w:tc>
      </w:tr>
      <w:tr w:rsidR="00D72414">
        <w:trPr>
          <w:gridAfter w:val="1"/>
          <w:wAfter w:w="2023" w:type="dxa"/>
          <w:trHeight w:val="682"/>
        </w:trPr>
        <w:tc>
          <w:tcPr>
            <w:tcW w:w="1881" w:type="dxa"/>
          </w:tcPr>
          <w:p w:rsidR="00D72414" w:rsidRDefault="00C0362E">
            <w:pPr>
              <w:rPr>
                <w:rFonts w:ascii="Arial" w:eastAsia="Arial" w:hAnsi="Arial" w:cs="Arial"/>
                <w:b/>
                <w:sz w:val="20"/>
                <w:szCs w:val="20"/>
              </w:rPr>
            </w:pPr>
            <w:r>
              <w:rPr>
                <w:rFonts w:ascii="Arial" w:eastAsia="Arial" w:hAnsi="Arial" w:cs="Arial"/>
                <w:b/>
                <w:sz w:val="20"/>
                <w:szCs w:val="20"/>
              </w:rPr>
              <w:t>DCA Commission Cap %</w:t>
            </w: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883" w:type="dxa"/>
          </w:tcPr>
          <w:p w:rsidR="00D72414" w:rsidRDefault="00C0362E">
            <w:pPr>
              <w:rPr>
                <w:rFonts w:ascii="Arial" w:eastAsia="Arial" w:hAnsi="Arial" w:cs="Arial"/>
                <w:b/>
                <w:sz w:val="20"/>
                <w:szCs w:val="20"/>
              </w:rPr>
            </w:pPr>
            <w:r>
              <w:rPr>
                <w:rFonts w:ascii="Arial" w:eastAsia="Arial" w:hAnsi="Arial" w:cs="Arial"/>
                <w:b/>
                <w:sz w:val="20"/>
                <w:szCs w:val="20"/>
              </w:rPr>
              <w:t>%</w:t>
            </w:r>
          </w:p>
        </w:tc>
      </w:tr>
    </w:tbl>
    <w:p w:rsidR="00D72414" w:rsidRDefault="00D72414">
      <w:pPr>
        <w:rPr>
          <w:rFonts w:ascii="Arial" w:eastAsia="Arial" w:hAnsi="Arial" w:cs="Arial"/>
          <w:b/>
          <w:sz w:val="22"/>
          <w:szCs w:val="22"/>
        </w:rPr>
      </w:pPr>
    </w:p>
    <w:p w:rsidR="00D72414" w:rsidRDefault="00D72414">
      <w:pPr>
        <w:rPr>
          <w:rFonts w:ascii="Arial" w:eastAsia="Arial" w:hAnsi="Arial" w:cs="Arial"/>
          <w:sz w:val="22"/>
          <w:szCs w:val="22"/>
        </w:rPr>
      </w:pPr>
    </w:p>
    <w:p w:rsidR="00D72414" w:rsidRDefault="00D72414">
      <w:pPr>
        <w:rPr>
          <w:rFonts w:ascii="Arial" w:eastAsia="Arial" w:hAnsi="Arial" w:cs="Arial"/>
          <w:sz w:val="22"/>
          <w:szCs w:val="22"/>
        </w:rPr>
      </w:pPr>
    </w:p>
    <w:p w:rsidR="00D72414" w:rsidRDefault="00D72414">
      <w:pPr>
        <w:rPr>
          <w:rFonts w:ascii="Arial" w:eastAsia="Arial" w:hAnsi="Arial" w:cs="Arial"/>
          <w:sz w:val="22"/>
          <w:szCs w:val="22"/>
        </w:rPr>
      </w:pPr>
    </w:p>
    <w:p w:rsidR="00D72414" w:rsidRDefault="00D72414">
      <w:pPr>
        <w:rPr>
          <w:rFonts w:ascii="Arial" w:eastAsia="Arial" w:hAnsi="Arial" w:cs="Arial"/>
          <w:sz w:val="22"/>
          <w:szCs w:val="22"/>
        </w:rPr>
      </w:pPr>
    </w:p>
    <w:p w:rsidR="00D72414" w:rsidRDefault="00D72414">
      <w:pPr>
        <w:rPr>
          <w:rFonts w:ascii="Arial" w:eastAsia="Arial" w:hAnsi="Arial" w:cs="Arial"/>
          <w:sz w:val="22"/>
          <w:szCs w:val="22"/>
        </w:rPr>
      </w:pPr>
    </w:p>
    <w:p w:rsidR="00D72414" w:rsidRDefault="00D72414">
      <w:pPr>
        <w:rPr>
          <w:rFonts w:ascii="Arial" w:eastAsia="Arial" w:hAnsi="Arial" w:cs="Arial"/>
          <w:sz w:val="22"/>
          <w:szCs w:val="22"/>
        </w:rPr>
      </w:pPr>
    </w:p>
    <w:p w:rsidR="00D72414" w:rsidRDefault="00D72414">
      <w:pPr>
        <w:rPr>
          <w:rFonts w:ascii="Arial" w:eastAsia="Arial" w:hAnsi="Arial" w:cs="Arial"/>
          <w:sz w:val="22"/>
          <w:szCs w:val="22"/>
        </w:rPr>
      </w:pPr>
    </w:p>
    <w:p w:rsidR="00D72414" w:rsidRDefault="00D72414">
      <w:pPr>
        <w:rPr>
          <w:rFonts w:ascii="Arial" w:eastAsia="Arial" w:hAnsi="Arial" w:cs="Arial"/>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C0362E">
      <w:pPr>
        <w:rPr>
          <w:rFonts w:ascii="Arial" w:eastAsia="Arial" w:hAnsi="Arial" w:cs="Arial"/>
          <w:b/>
          <w:sz w:val="22"/>
          <w:szCs w:val="22"/>
        </w:rPr>
      </w:pPr>
      <w:r>
        <w:rPr>
          <w:rFonts w:ascii="Arial" w:eastAsia="Arial" w:hAnsi="Arial" w:cs="Arial"/>
          <w:b/>
          <w:sz w:val="22"/>
          <w:szCs w:val="22"/>
        </w:rPr>
        <w:t>Customer B - Driver and Vehicle Licensing Agency (DVLA)</w:t>
      </w:r>
    </w:p>
    <w:p w:rsidR="00D72414" w:rsidRDefault="00D72414">
      <w:pPr>
        <w:rPr>
          <w:rFonts w:ascii="Arial" w:eastAsia="Arial" w:hAnsi="Arial" w:cs="Arial"/>
          <w:b/>
          <w:sz w:val="32"/>
          <w:szCs w:val="32"/>
        </w:rPr>
      </w:pPr>
    </w:p>
    <w:p w:rsidR="00D72414" w:rsidRDefault="00D72414">
      <w:pPr>
        <w:rPr>
          <w:rFonts w:ascii="Arial" w:eastAsia="Arial" w:hAnsi="Arial" w:cs="Arial"/>
          <w:b/>
          <w:sz w:val="20"/>
          <w:szCs w:val="20"/>
        </w:rPr>
      </w:pPr>
    </w:p>
    <w:tbl>
      <w:tblPr>
        <w:tblStyle w:val="afff8"/>
        <w:tblW w:w="13178"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905"/>
        <w:gridCol w:w="1905"/>
        <w:gridCol w:w="1906"/>
        <w:gridCol w:w="1906"/>
        <w:gridCol w:w="1906"/>
        <w:gridCol w:w="1906"/>
        <w:gridCol w:w="1744"/>
      </w:tblGrid>
      <w:tr w:rsidR="00D72414">
        <w:trPr>
          <w:gridAfter w:val="6"/>
          <w:wAfter w:w="11273" w:type="dxa"/>
          <w:trHeight w:val="1351"/>
        </w:trPr>
        <w:tc>
          <w:tcPr>
            <w:tcW w:w="1905" w:type="dxa"/>
          </w:tcPr>
          <w:p w:rsidR="00D72414" w:rsidRDefault="00C0362E">
            <w:pPr>
              <w:rPr>
                <w:rFonts w:ascii="Arial" w:eastAsia="Arial" w:hAnsi="Arial" w:cs="Arial"/>
                <w:b/>
                <w:sz w:val="20"/>
                <w:szCs w:val="20"/>
              </w:rPr>
            </w:pPr>
            <w:r>
              <w:rPr>
                <w:rFonts w:ascii="Arial" w:eastAsia="Arial" w:hAnsi="Arial" w:cs="Arial"/>
                <w:b/>
                <w:sz w:val="20"/>
                <w:szCs w:val="20"/>
              </w:rPr>
              <w:t xml:space="preserve">Service Management Fee % </w:t>
            </w:r>
          </w:p>
          <w:p w:rsidR="00D72414" w:rsidRDefault="00C0362E">
            <w:pPr>
              <w:rPr>
                <w:rFonts w:ascii="Arial" w:eastAsia="Arial" w:hAnsi="Arial" w:cs="Arial"/>
                <w:color w:val="FF0000"/>
                <w:sz w:val="20"/>
                <w:szCs w:val="20"/>
              </w:rPr>
            </w:pPr>
            <w:r>
              <w:rPr>
                <w:rFonts w:ascii="Arial" w:eastAsia="Arial" w:hAnsi="Arial" w:cs="Arial"/>
                <w:b/>
                <w:sz w:val="20"/>
                <w:szCs w:val="20"/>
              </w:rPr>
              <w:t>(Shall be the same across all Debt Types)</w:t>
            </w:r>
          </w:p>
        </w:tc>
      </w:tr>
      <w:tr w:rsidR="00D72414">
        <w:trPr>
          <w:trHeight w:val="901"/>
        </w:trPr>
        <w:tc>
          <w:tcPr>
            <w:tcW w:w="1905" w:type="dxa"/>
          </w:tcPr>
          <w:p w:rsidR="00D72414" w:rsidRDefault="00C0362E">
            <w:pPr>
              <w:rPr>
                <w:rFonts w:ascii="Arial" w:eastAsia="Arial" w:hAnsi="Arial" w:cs="Arial"/>
                <w:b/>
                <w:sz w:val="20"/>
                <w:szCs w:val="20"/>
              </w:rPr>
            </w:pPr>
            <w:r>
              <w:rPr>
                <w:rFonts w:ascii="Arial" w:eastAsia="Arial" w:hAnsi="Arial" w:cs="Arial"/>
                <w:b/>
                <w:sz w:val="20"/>
                <w:szCs w:val="20"/>
              </w:rPr>
              <w:t>Service Management Fee Revenue (i.e. Changes less DCA Commission Charges)</w:t>
            </w:r>
          </w:p>
        </w:tc>
        <w:tc>
          <w:tcPr>
            <w:tcW w:w="1905" w:type="dxa"/>
          </w:tcPr>
          <w:p w:rsidR="00D72414" w:rsidRDefault="00C0362E">
            <w:pPr>
              <w:rPr>
                <w:rFonts w:ascii="Arial" w:eastAsia="Arial" w:hAnsi="Arial" w:cs="Arial"/>
                <w:b/>
                <w:sz w:val="20"/>
                <w:szCs w:val="20"/>
              </w:rPr>
            </w:pPr>
            <w:r>
              <w:rPr>
                <w:rFonts w:ascii="Arial" w:eastAsia="Arial" w:hAnsi="Arial" w:cs="Arial"/>
                <w:b/>
                <w:sz w:val="20"/>
                <w:szCs w:val="20"/>
              </w:rPr>
              <w:t>&lt;£600k</w:t>
            </w:r>
          </w:p>
        </w:tc>
        <w:tc>
          <w:tcPr>
            <w:tcW w:w="1906" w:type="dxa"/>
          </w:tcPr>
          <w:p w:rsidR="00D72414" w:rsidRDefault="00C0362E">
            <w:pPr>
              <w:rPr>
                <w:rFonts w:ascii="Arial" w:eastAsia="Arial" w:hAnsi="Arial" w:cs="Arial"/>
                <w:b/>
                <w:sz w:val="20"/>
                <w:szCs w:val="20"/>
              </w:rPr>
            </w:pPr>
            <w:r>
              <w:rPr>
                <w:rFonts w:ascii="Arial" w:eastAsia="Arial" w:hAnsi="Arial" w:cs="Arial"/>
                <w:b/>
                <w:sz w:val="20"/>
                <w:szCs w:val="20"/>
              </w:rPr>
              <w:t>£600k - &lt;£700k</w:t>
            </w:r>
          </w:p>
        </w:tc>
        <w:tc>
          <w:tcPr>
            <w:tcW w:w="1906" w:type="dxa"/>
          </w:tcPr>
          <w:p w:rsidR="00D72414" w:rsidRDefault="00C0362E">
            <w:pPr>
              <w:rPr>
                <w:rFonts w:ascii="Arial" w:eastAsia="Arial" w:hAnsi="Arial" w:cs="Arial"/>
                <w:b/>
                <w:sz w:val="20"/>
                <w:szCs w:val="20"/>
              </w:rPr>
            </w:pPr>
            <w:r>
              <w:rPr>
                <w:rFonts w:ascii="Arial" w:eastAsia="Arial" w:hAnsi="Arial" w:cs="Arial"/>
                <w:b/>
                <w:sz w:val="20"/>
                <w:szCs w:val="20"/>
              </w:rPr>
              <w:t>£700k - &lt;£800k</w:t>
            </w:r>
          </w:p>
        </w:tc>
        <w:tc>
          <w:tcPr>
            <w:tcW w:w="1906" w:type="dxa"/>
          </w:tcPr>
          <w:p w:rsidR="00D72414" w:rsidRDefault="00C0362E">
            <w:pPr>
              <w:rPr>
                <w:rFonts w:ascii="Arial" w:eastAsia="Arial" w:hAnsi="Arial" w:cs="Arial"/>
                <w:b/>
                <w:sz w:val="20"/>
                <w:szCs w:val="20"/>
              </w:rPr>
            </w:pPr>
            <w:r>
              <w:rPr>
                <w:rFonts w:ascii="Arial" w:eastAsia="Arial" w:hAnsi="Arial" w:cs="Arial"/>
                <w:b/>
                <w:sz w:val="20"/>
                <w:szCs w:val="20"/>
              </w:rPr>
              <w:t>£800k - &lt;£900k</w:t>
            </w:r>
          </w:p>
        </w:tc>
        <w:tc>
          <w:tcPr>
            <w:tcW w:w="1906" w:type="dxa"/>
          </w:tcPr>
          <w:p w:rsidR="00D72414" w:rsidRDefault="00C0362E">
            <w:pPr>
              <w:rPr>
                <w:rFonts w:ascii="Arial" w:eastAsia="Arial" w:hAnsi="Arial" w:cs="Arial"/>
                <w:b/>
                <w:sz w:val="20"/>
                <w:szCs w:val="20"/>
              </w:rPr>
            </w:pPr>
            <w:r>
              <w:rPr>
                <w:rFonts w:ascii="Arial" w:eastAsia="Arial" w:hAnsi="Arial" w:cs="Arial"/>
                <w:b/>
                <w:sz w:val="20"/>
                <w:szCs w:val="20"/>
              </w:rPr>
              <w:t>£900k - &lt;£1m</w:t>
            </w:r>
          </w:p>
        </w:tc>
        <w:tc>
          <w:tcPr>
            <w:tcW w:w="1744" w:type="dxa"/>
          </w:tcPr>
          <w:p w:rsidR="00D72414" w:rsidRDefault="00C0362E">
            <w:pPr>
              <w:rPr>
                <w:rFonts w:ascii="Arial" w:eastAsia="Arial" w:hAnsi="Arial" w:cs="Arial"/>
                <w:b/>
                <w:sz w:val="20"/>
                <w:szCs w:val="20"/>
              </w:rPr>
            </w:pPr>
            <w:r>
              <w:rPr>
                <w:rFonts w:ascii="Arial" w:eastAsia="Arial" w:hAnsi="Arial" w:cs="Arial"/>
                <w:b/>
                <w:sz w:val="20"/>
                <w:szCs w:val="20"/>
              </w:rPr>
              <w:t>£1m &gt;</w:t>
            </w:r>
          </w:p>
        </w:tc>
      </w:tr>
      <w:tr w:rsidR="00D72414">
        <w:trPr>
          <w:trHeight w:val="1350"/>
        </w:trPr>
        <w:tc>
          <w:tcPr>
            <w:tcW w:w="1905" w:type="dxa"/>
          </w:tcPr>
          <w:p w:rsidR="00D72414" w:rsidRDefault="00C0362E">
            <w:pPr>
              <w:rPr>
                <w:rFonts w:ascii="Arial" w:eastAsia="Arial" w:hAnsi="Arial" w:cs="Arial"/>
                <w:b/>
                <w:sz w:val="20"/>
                <w:szCs w:val="20"/>
              </w:rPr>
            </w:pPr>
            <w:r>
              <w:rPr>
                <w:rFonts w:ascii="Arial" w:eastAsia="Arial" w:hAnsi="Arial" w:cs="Arial"/>
                <w:b/>
                <w:sz w:val="20"/>
                <w:szCs w:val="20"/>
              </w:rPr>
              <w:t>Service Management Fee - The Service also being delivered to HMRC</w:t>
            </w:r>
          </w:p>
          <w:p w:rsidR="00D72414" w:rsidRDefault="00D72414">
            <w:pPr>
              <w:jc w:val="center"/>
              <w:rPr>
                <w:rFonts w:ascii="Arial" w:eastAsia="Arial" w:hAnsi="Arial" w:cs="Arial"/>
                <w:b/>
                <w:sz w:val="20"/>
                <w:szCs w:val="20"/>
              </w:rPr>
            </w:pPr>
          </w:p>
        </w:tc>
        <w:tc>
          <w:tcPr>
            <w:tcW w:w="1905" w:type="dxa"/>
          </w:tcPr>
          <w:p w:rsidR="00D72414" w:rsidRDefault="00C0362E">
            <w:pPr>
              <w:rPr>
                <w:rFonts w:ascii="Arial" w:eastAsia="Arial" w:hAnsi="Arial" w:cs="Arial"/>
                <w:sz w:val="20"/>
                <w:szCs w:val="20"/>
              </w:rPr>
            </w:pPr>
            <w:r>
              <w:rPr>
                <w:rFonts w:ascii="Arial" w:eastAsia="Arial" w:hAnsi="Arial" w:cs="Arial"/>
                <w:sz w:val="20"/>
                <w:szCs w:val="20"/>
              </w:rPr>
              <w:t>%</w:t>
            </w:r>
          </w:p>
        </w:tc>
        <w:tc>
          <w:tcPr>
            <w:tcW w:w="1906" w:type="dxa"/>
          </w:tcPr>
          <w:p w:rsidR="00D72414" w:rsidRDefault="00C0362E">
            <w:pPr>
              <w:rPr>
                <w:rFonts w:ascii="Arial" w:eastAsia="Arial" w:hAnsi="Arial" w:cs="Arial"/>
                <w:b/>
                <w:sz w:val="20"/>
                <w:szCs w:val="20"/>
              </w:rPr>
            </w:pPr>
            <w:r>
              <w:rPr>
                <w:rFonts w:ascii="Arial" w:eastAsia="Arial" w:hAnsi="Arial" w:cs="Arial"/>
                <w:b/>
                <w:sz w:val="20"/>
                <w:szCs w:val="20"/>
              </w:rPr>
              <w:t xml:space="preserve">% </w:t>
            </w:r>
          </w:p>
        </w:tc>
        <w:tc>
          <w:tcPr>
            <w:tcW w:w="1906"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06"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06"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744" w:type="dxa"/>
          </w:tcPr>
          <w:p w:rsidR="00D72414" w:rsidRDefault="00C0362E">
            <w:pPr>
              <w:rPr>
                <w:rFonts w:ascii="Arial" w:eastAsia="Arial" w:hAnsi="Arial" w:cs="Arial"/>
                <w:b/>
                <w:sz w:val="20"/>
                <w:szCs w:val="20"/>
              </w:rPr>
            </w:pPr>
            <w:r>
              <w:rPr>
                <w:rFonts w:ascii="Arial" w:eastAsia="Arial" w:hAnsi="Arial" w:cs="Arial"/>
                <w:b/>
                <w:sz w:val="20"/>
                <w:szCs w:val="20"/>
              </w:rPr>
              <w:t>%</w:t>
            </w:r>
          </w:p>
        </w:tc>
      </w:tr>
      <w:tr w:rsidR="00D72414">
        <w:trPr>
          <w:trHeight w:val="1440"/>
        </w:trPr>
        <w:tc>
          <w:tcPr>
            <w:tcW w:w="1905" w:type="dxa"/>
          </w:tcPr>
          <w:p w:rsidR="00D72414" w:rsidRDefault="00C0362E">
            <w:pPr>
              <w:rPr>
                <w:rFonts w:ascii="Arial" w:eastAsia="Arial" w:hAnsi="Arial" w:cs="Arial"/>
                <w:b/>
                <w:sz w:val="20"/>
                <w:szCs w:val="20"/>
              </w:rPr>
            </w:pPr>
            <w:r>
              <w:rPr>
                <w:rFonts w:ascii="Arial" w:eastAsia="Arial" w:hAnsi="Arial" w:cs="Arial"/>
                <w:b/>
                <w:sz w:val="20"/>
                <w:szCs w:val="20"/>
              </w:rPr>
              <w:t xml:space="preserve">Service Management Fee – The Service not being delivered to HMRC (Charges less DCA </w:t>
            </w:r>
            <w:r>
              <w:rPr>
                <w:rFonts w:ascii="Arial" w:eastAsia="Arial" w:hAnsi="Arial" w:cs="Arial"/>
                <w:b/>
                <w:sz w:val="20"/>
                <w:szCs w:val="20"/>
              </w:rPr>
              <w:lastRenderedPageBreak/>
              <w:t>Commission Charges)</w:t>
            </w:r>
          </w:p>
        </w:tc>
        <w:tc>
          <w:tcPr>
            <w:tcW w:w="1905" w:type="dxa"/>
          </w:tcPr>
          <w:p w:rsidR="00D72414" w:rsidRDefault="00C0362E">
            <w:pPr>
              <w:rPr>
                <w:rFonts w:ascii="Arial" w:eastAsia="Arial" w:hAnsi="Arial" w:cs="Arial"/>
                <w:sz w:val="20"/>
                <w:szCs w:val="20"/>
              </w:rPr>
            </w:pPr>
            <w:r>
              <w:rPr>
                <w:rFonts w:ascii="Arial" w:eastAsia="Arial" w:hAnsi="Arial" w:cs="Arial"/>
                <w:sz w:val="20"/>
                <w:szCs w:val="20"/>
              </w:rPr>
              <w:lastRenderedPageBreak/>
              <w:t>%</w:t>
            </w:r>
          </w:p>
        </w:tc>
        <w:tc>
          <w:tcPr>
            <w:tcW w:w="1906" w:type="dxa"/>
          </w:tcPr>
          <w:p w:rsidR="00D72414" w:rsidRDefault="00C0362E">
            <w:pPr>
              <w:rPr>
                <w:rFonts w:ascii="Arial" w:eastAsia="Arial" w:hAnsi="Arial" w:cs="Arial"/>
                <w:b/>
                <w:sz w:val="20"/>
                <w:szCs w:val="20"/>
              </w:rPr>
            </w:pPr>
            <w:r>
              <w:rPr>
                <w:rFonts w:ascii="Arial" w:eastAsia="Arial" w:hAnsi="Arial" w:cs="Arial"/>
                <w:b/>
                <w:sz w:val="20"/>
                <w:szCs w:val="20"/>
              </w:rPr>
              <w:t xml:space="preserve">% </w:t>
            </w:r>
          </w:p>
        </w:tc>
        <w:tc>
          <w:tcPr>
            <w:tcW w:w="1906"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06"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06"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744" w:type="dxa"/>
          </w:tcPr>
          <w:p w:rsidR="00D72414" w:rsidRDefault="00C0362E">
            <w:pPr>
              <w:rPr>
                <w:rFonts w:ascii="Arial" w:eastAsia="Arial" w:hAnsi="Arial" w:cs="Arial"/>
                <w:b/>
                <w:sz w:val="20"/>
                <w:szCs w:val="20"/>
              </w:rPr>
            </w:pPr>
            <w:r>
              <w:rPr>
                <w:rFonts w:ascii="Arial" w:eastAsia="Arial" w:hAnsi="Arial" w:cs="Arial"/>
                <w:b/>
                <w:sz w:val="20"/>
                <w:szCs w:val="20"/>
              </w:rPr>
              <w:t>%</w:t>
            </w:r>
          </w:p>
        </w:tc>
      </w:tr>
      <w:tr w:rsidR="00D72414">
        <w:trPr>
          <w:trHeight w:val="1126"/>
        </w:trPr>
        <w:tc>
          <w:tcPr>
            <w:tcW w:w="1905" w:type="dxa"/>
          </w:tcPr>
          <w:p w:rsidR="00D72414" w:rsidRDefault="00C0362E">
            <w:pPr>
              <w:rPr>
                <w:rFonts w:ascii="Arial" w:eastAsia="Arial" w:hAnsi="Arial" w:cs="Arial"/>
                <w:b/>
                <w:sz w:val="20"/>
                <w:szCs w:val="20"/>
              </w:rPr>
            </w:pPr>
            <w:r>
              <w:rPr>
                <w:rFonts w:ascii="Arial" w:eastAsia="Arial" w:hAnsi="Arial" w:cs="Arial"/>
                <w:b/>
                <w:sz w:val="20"/>
                <w:szCs w:val="20"/>
              </w:rPr>
              <w:t>Guidance</w:t>
            </w:r>
          </w:p>
        </w:tc>
        <w:tc>
          <w:tcPr>
            <w:tcW w:w="1905" w:type="dxa"/>
          </w:tcPr>
          <w:p w:rsidR="00D72414" w:rsidRDefault="00D72414">
            <w:pPr>
              <w:rPr>
                <w:rFonts w:ascii="Arial" w:eastAsia="Arial" w:hAnsi="Arial" w:cs="Arial"/>
                <w:sz w:val="20"/>
                <w:szCs w:val="20"/>
              </w:rPr>
            </w:pPr>
          </w:p>
        </w:tc>
        <w:tc>
          <w:tcPr>
            <w:tcW w:w="1906"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1906"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1906"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1906"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1744"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r>
      <w:tr w:rsidR="00D72414">
        <w:trPr>
          <w:trHeight w:val="225"/>
        </w:trPr>
        <w:tc>
          <w:tcPr>
            <w:tcW w:w="1905" w:type="dxa"/>
            <w:shd w:val="clear" w:color="auto" w:fill="000000"/>
          </w:tcPr>
          <w:p w:rsidR="00D72414" w:rsidRDefault="00D72414">
            <w:pPr>
              <w:rPr>
                <w:rFonts w:ascii="Arial" w:eastAsia="Arial" w:hAnsi="Arial" w:cs="Arial"/>
                <w:b/>
                <w:sz w:val="20"/>
                <w:szCs w:val="20"/>
              </w:rPr>
            </w:pPr>
          </w:p>
        </w:tc>
        <w:tc>
          <w:tcPr>
            <w:tcW w:w="1905" w:type="dxa"/>
            <w:shd w:val="clear" w:color="auto" w:fill="000000"/>
          </w:tcPr>
          <w:p w:rsidR="00D72414" w:rsidRDefault="00D72414">
            <w:pPr>
              <w:rPr>
                <w:rFonts w:ascii="Arial" w:eastAsia="Arial" w:hAnsi="Arial" w:cs="Arial"/>
                <w:b/>
                <w:sz w:val="20"/>
                <w:szCs w:val="20"/>
              </w:rPr>
            </w:pPr>
          </w:p>
        </w:tc>
        <w:tc>
          <w:tcPr>
            <w:tcW w:w="1906" w:type="dxa"/>
            <w:shd w:val="clear" w:color="auto" w:fill="000000"/>
          </w:tcPr>
          <w:p w:rsidR="00D72414" w:rsidRDefault="00D72414">
            <w:pPr>
              <w:rPr>
                <w:rFonts w:ascii="Arial" w:eastAsia="Arial" w:hAnsi="Arial" w:cs="Arial"/>
                <w:b/>
                <w:sz w:val="20"/>
                <w:szCs w:val="20"/>
              </w:rPr>
            </w:pPr>
          </w:p>
        </w:tc>
        <w:tc>
          <w:tcPr>
            <w:tcW w:w="1906" w:type="dxa"/>
            <w:shd w:val="clear" w:color="auto" w:fill="000000"/>
          </w:tcPr>
          <w:p w:rsidR="00D72414" w:rsidRDefault="00D72414">
            <w:pPr>
              <w:rPr>
                <w:rFonts w:ascii="Arial" w:eastAsia="Arial" w:hAnsi="Arial" w:cs="Arial"/>
                <w:b/>
                <w:sz w:val="20"/>
                <w:szCs w:val="20"/>
              </w:rPr>
            </w:pPr>
          </w:p>
        </w:tc>
        <w:tc>
          <w:tcPr>
            <w:tcW w:w="1906" w:type="dxa"/>
            <w:shd w:val="clear" w:color="auto" w:fill="000000"/>
          </w:tcPr>
          <w:p w:rsidR="00D72414" w:rsidRDefault="00D72414">
            <w:pPr>
              <w:rPr>
                <w:rFonts w:ascii="Arial" w:eastAsia="Arial" w:hAnsi="Arial" w:cs="Arial"/>
                <w:b/>
                <w:sz w:val="20"/>
                <w:szCs w:val="20"/>
              </w:rPr>
            </w:pPr>
          </w:p>
        </w:tc>
        <w:tc>
          <w:tcPr>
            <w:tcW w:w="1906" w:type="dxa"/>
            <w:shd w:val="clear" w:color="auto" w:fill="000000"/>
          </w:tcPr>
          <w:p w:rsidR="00D72414" w:rsidRDefault="00D72414">
            <w:pPr>
              <w:rPr>
                <w:rFonts w:ascii="Arial" w:eastAsia="Arial" w:hAnsi="Arial" w:cs="Arial"/>
                <w:b/>
                <w:sz w:val="20"/>
                <w:szCs w:val="20"/>
              </w:rPr>
            </w:pPr>
          </w:p>
        </w:tc>
        <w:tc>
          <w:tcPr>
            <w:tcW w:w="1744" w:type="dxa"/>
            <w:shd w:val="clear" w:color="auto" w:fill="000000"/>
          </w:tcPr>
          <w:p w:rsidR="00D72414" w:rsidRDefault="00D72414">
            <w:pPr>
              <w:rPr>
                <w:rFonts w:ascii="Arial" w:eastAsia="Arial" w:hAnsi="Arial" w:cs="Arial"/>
                <w:b/>
                <w:sz w:val="20"/>
                <w:szCs w:val="20"/>
              </w:rPr>
            </w:pPr>
          </w:p>
        </w:tc>
      </w:tr>
      <w:tr w:rsidR="00D72414">
        <w:trPr>
          <w:trHeight w:val="450"/>
        </w:trPr>
        <w:tc>
          <w:tcPr>
            <w:tcW w:w="1905" w:type="dxa"/>
            <w:shd w:val="clear" w:color="auto" w:fill="000000"/>
          </w:tcPr>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tc>
        <w:tc>
          <w:tcPr>
            <w:tcW w:w="1905" w:type="dxa"/>
            <w:shd w:val="clear" w:color="auto" w:fill="000000"/>
          </w:tcPr>
          <w:p w:rsidR="00D72414" w:rsidRDefault="00D72414">
            <w:pPr>
              <w:rPr>
                <w:rFonts w:ascii="Arial" w:eastAsia="Arial" w:hAnsi="Arial" w:cs="Arial"/>
                <w:b/>
                <w:sz w:val="20"/>
                <w:szCs w:val="20"/>
              </w:rPr>
            </w:pPr>
          </w:p>
        </w:tc>
        <w:tc>
          <w:tcPr>
            <w:tcW w:w="1906" w:type="dxa"/>
            <w:shd w:val="clear" w:color="auto" w:fill="000000"/>
          </w:tcPr>
          <w:p w:rsidR="00D72414" w:rsidRDefault="00D72414">
            <w:pPr>
              <w:rPr>
                <w:rFonts w:ascii="Arial" w:eastAsia="Arial" w:hAnsi="Arial" w:cs="Arial"/>
                <w:b/>
                <w:sz w:val="20"/>
                <w:szCs w:val="20"/>
              </w:rPr>
            </w:pPr>
          </w:p>
        </w:tc>
        <w:tc>
          <w:tcPr>
            <w:tcW w:w="1906" w:type="dxa"/>
            <w:shd w:val="clear" w:color="auto" w:fill="000000"/>
          </w:tcPr>
          <w:p w:rsidR="00D72414" w:rsidRDefault="00D72414">
            <w:pPr>
              <w:rPr>
                <w:rFonts w:ascii="Arial" w:eastAsia="Arial" w:hAnsi="Arial" w:cs="Arial"/>
                <w:b/>
                <w:sz w:val="20"/>
                <w:szCs w:val="20"/>
              </w:rPr>
            </w:pPr>
          </w:p>
        </w:tc>
        <w:tc>
          <w:tcPr>
            <w:tcW w:w="1906" w:type="dxa"/>
            <w:shd w:val="clear" w:color="auto" w:fill="000000"/>
          </w:tcPr>
          <w:p w:rsidR="00D72414" w:rsidRDefault="00D72414">
            <w:pPr>
              <w:rPr>
                <w:rFonts w:ascii="Arial" w:eastAsia="Arial" w:hAnsi="Arial" w:cs="Arial"/>
                <w:b/>
                <w:sz w:val="20"/>
                <w:szCs w:val="20"/>
              </w:rPr>
            </w:pPr>
          </w:p>
        </w:tc>
        <w:tc>
          <w:tcPr>
            <w:tcW w:w="1906" w:type="dxa"/>
            <w:shd w:val="clear" w:color="auto" w:fill="000000"/>
          </w:tcPr>
          <w:p w:rsidR="00D72414" w:rsidRDefault="00D72414">
            <w:pPr>
              <w:rPr>
                <w:rFonts w:ascii="Arial" w:eastAsia="Arial" w:hAnsi="Arial" w:cs="Arial"/>
                <w:b/>
                <w:sz w:val="20"/>
                <w:szCs w:val="20"/>
              </w:rPr>
            </w:pPr>
          </w:p>
        </w:tc>
        <w:tc>
          <w:tcPr>
            <w:tcW w:w="1744" w:type="dxa"/>
            <w:shd w:val="clear" w:color="auto" w:fill="000000"/>
          </w:tcPr>
          <w:p w:rsidR="00D72414" w:rsidRDefault="00D72414">
            <w:pPr>
              <w:rPr>
                <w:rFonts w:ascii="Arial" w:eastAsia="Arial" w:hAnsi="Arial" w:cs="Arial"/>
                <w:b/>
                <w:sz w:val="20"/>
                <w:szCs w:val="20"/>
              </w:rPr>
            </w:pPr>
          </w:p>
        </w:tc>
      </w:tr>
      <w:tr w:rsidR="00D72414">
        <w:trPr>
          <w:gridAfter w:val="4"/>
          <w:wAfter w:w="7462" w:type="dxa"/>
          <w:trHeight w:val="225"/>
        </w:trPr>
        <w:tc>
          <w:tcPr>
            <w:tcW w:w="1905"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Debt Type</w:t>
            </w:r>
          </w:p>
        </w:tc>
        <w:tc>
          <w:tcPr>
            <w:tcW w:w="1905"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Failed Direct Debit / Returned Cheques (DD)</w:t>
            </w:r>
          </w:p>
        </w:tc>
        <w:tc>
          <w:tcPr>
            <w:tcW w:w="1906"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Continuous Registration (CR)</w:t>
            </w:r>
          </w:p>
        </w:tc>
      </w:tr>
      <w:tr w:rsidR="00D72414">
        <w:trPr>
          <w:gridAfter w:val="4"/>
          <w:wAfter w:w="7462" w:type="dxa"/>
          <w:trHeight w:val="225"/>
        </w:trPr>
        <w:tc>
          <w:tcPr>
            <w:tcW w:w="1905" w:type="dxa"/>
            <w:shd w:val="clear" w:color="auto" w:fill="FFFFFF"/>
          </w:tcPr>
          <w:p w:rsidR="00D72414" w:rsidRDefault="00D72414">
            <w:pPr>
              <w:rPr>
                <w:rFonts w:ascii="Arial" w:eastAsia="Arial" w:hAnsi="Arial" w:cs="Arial"/>
                <w:b/>
                <w:sz w:val="20"/>
                <w:szCs w:val="20"/>
              </w:rPr>
            </w:pPr>
          </w:p>
        </w:tc>
        <w:tc>
          <w:tcPr>
            <w:tcW w:w="1905" w:type="dxa"/>
            <w:shd w:val="clear" w:color="auto" w:fill="FFFFFF"/>
          </w:tcPr>
          <w:p w:rsidR="00D72414" w:rsidRDefault="00D72414">
            <w:pPr>
              <w:rPr>
                <w:rFonts w:ascii="Arial" w:eastAsia="Arial" w:hAnsi="Arial" w:cs="Arial"/>
                <w:b/>
                <w:sz w:val="20"/>
                <w:szCs w:val="20"/>
              </w:rPr>
            </w:pPr>
          </w:p>
        </w:tc>
        <w:tc>
          <w:tcPr>
            <w:tcW w:w="1906" w:type="dxa"/>
            <w:shd w:val="clear" w:color="auto" w:fill="FFFFFF"/>
          </w:tcPr>
          <w:p w:rsidR="00D72414" w:rsidRDefault="00D72414">
            <w:pPr>
              <w:rPr>
                <w:rFonts w:ascii="Arial" w:eastAsia="Arial" w:hAnsi="Arial" w:cs="Arial"/>
                <w:b/>
                <w:sz w:val="20"/>
                <w:szCs w:val="20"/>
              </w:rPr>
            </w:pPr>
          </w:p>
        </w:tc>
      </w:tr>
      <w:tr w:rsidR="00D72414">
        <w:trPr>
          <w:gridAfter w:val="4"/>
          <w:wAfter w:w="7462" w:type="dxa"/>
          <w:trHeight w:val="675"/>
        </w:trPr>
        <w:tc>
          <w:tcPr>
            <w:tcW w:w="1905" w:type="dxa"/>
          </w:tcPr>
          <w:p w:rsidR="00D72414" w:rsidRDefault="00C0362E">
            <w:pPr>
              <w:rPr>
                <w:rFonts w:ascii="Arial" w:eastAsia="Arial" w:hAnsi="Arial" w:cs="Arial"/>
                <w:b/>
                <w:sz w:val="20"/>
                <w:szCs w:val="20"/>
              </w:rPr>
            </w:pPr>
            <w:r>
              <w:rPr>
                <w:rFonts w:ascii="Arial" w:eastAsia="Arial" w:hAnsi="Arial" w:cs="Arial"/>
                <w:b/>
                <w:sz w:val="20"/>
                <w:szCs w:val="20"/>
              </w:rPr>
              <w:t>DCA Commission Cap %</w:t>
            </w:r>
          </w:p>
        </w:tc>
        <w:tc>
          <w:tcPr>
            <w:tcW w:w="1905"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06" w:type="dxa"/>
          </w:tcPr>
          <w:p w:rsidR="00D72414" w:rsidRDefault="00C0362E">
            <w:pPr>
              <w:rPr>
                <w:rFonts w:ascii="Arial" w:eastAsia="Arial" w:hAnsi="Arial" w:cs="Arial"/>
                <w:b/>
                <w:sz w:val="20"/>
                <w:szCs w:val="20"/>
              </w:rPr>
            </w:pPr>
            <w:r>
              <w:rPr>
                <w:rFonts w:ascii="Arial" w:eastAsia="Arial" w:hAnsi="Arial" w:cs="Arial"/>
                <w:b/>
                <w:sz w:val="20"/>
                <w:szCs w:val="20"/>
              </w:rPr>
              <w:t>%</w:t>
            </w:r>
          </w:p>
        </w:tc>
      </w:tr>
    </w:tbl>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C0362E">
      <w:pPr>
        <w:rPr>
          <w:rFonts w:ascii="Arial" w:eastAsia="Arial" w:hAnsi="Arial" w:cs="Arial"/>
          <w:b/>
          <w:sz w:val="20"/>
          <w:szCs w:val="20"/>
        </w:rPr>
      </w:pPr>
      <w:r>
        <w:rPr>
          <w:rFonts w:ascii="Arial" w:eastAsia="Arial" w:hAnsi="Arial" w:cs="Arial"/>
          <w:b/>
          <w:sz w:val="20"/>
          <w:szCs w:val="20"/>
        </w:rPr>
        <w:t>Customer C - Department for Work and Pensions (DWP)</w:t>
      </w: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tbl>
      <w:tblPr>
        <w:tblStyle w:val="afff9"/>
        <w:tblW w:w="1341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915"/>
        <w:gridCol w:w="1915"/>
        <w:gridCol w:w="1916"/>
        <w:gridCol w:w="1916"/>
        <w:gridCol w:w="1916"/>
        <w:gridCol w:w="1916"/>
        <w:gridCol w:w="1916"/>
      </w:tblGrid>
      <w:tr w:rsidR="00D72414">
        <w:trPr>
          <w:gridAfter w:val="6"/>
          <w:wAfter w:w="11495" w:type="dxa"/>
          <w:trHeight w:val="1381"/>
        </w:trPr>
        <w:tc>
          <w:tcPr>
            <w:tcW w:w="1915" w:type="dxa"/>
          </w:tcPr>
          <w:p w:rsidR="00D72414" w:rsidRDefault="00C0362E">
            <w:pPr>
              <w:rPr>
                <w:rFonts w:ascii="Arial" w:eastAsia="Arial" w:hAnsi="Arial" w:cs="Arial"/>
                <w:b/>
                <w:sz w:val="20"/>
                <w:szCs w:val="20"/>
              </w:rPr>
            </w:pPr>
            <w:r>
              <w:rPr>
                <w:rFonts w:ascii="Arial" w:eastAsia="Arial" w:hAnsi="Arial" w:cs="Arial"/>
                <w:b/>
                <w:sz w:val="20"/>
                <w:szCs w:val="20"/>
              </w:rPr>
              <w:lastRenderedPageBreak/>
              <w:t xml:space="preserve">Service Management Fee % </w:t>
            </w:r>
          </w:p>
          <w:p w:rsidR="00D72414" w:rsidRDefault="00C0362E">
            <w:pPr>
              <w:rPr>
                <w:rFonts w:ascii="Arial" w:eastAsia="Arial" w:hAnsi="Arial" w:cs="Arial"/>
                <w:color w:val="FF0000"/>
                <w:sz w:val="20"/>
                <w:szCs w:val="20"/>
              </w:rPr>
            </w:pPr>
            <w:r>
              <w:rPr>
                <w:rFonts w:ascii="Arial" w:eastAsia="Arial" w:hAnsi="Arial" w:cs="Arial"/>
                <w:b/>
                <w:sz w:val="20"/>
                <w:szCs w:val="20"/>
              </w:rPr>
              <w:t>(Shall be the same across all Debt Types)</w:t>
            </w:r>
          </w:p>
        </w:tc>
      </w:tr>
      <w:tr w:rsidR="00D72414">
        <w:trPr>
          <w:trHeight w:val="920"/>
        </w:trPr>
        <w:tc>
          <w:tcPr>
            <w:tcW w:w="1915" w:type="dxa"/>
          </w:tcPr>
          <w:p w:rsidR="00D72414" w:rsidRDefault="00C0362E">
            <w:pPr>
              <w:rPr>
                <w:rFonts w:ascii="Arial" w:eastAsia="Arial" w:hAnsi="Arial" w:cs="Arial"/>
                <w:b/>
                <w:sz w:val="20"/>
                <w:szCs w:val="20"/>
              </w:rPr>
            </w:pPr>
            <w:r>
              <w:rPr>
                <w:rFonts w:ascii="Arial" w:eastAsia="Arial" w:hAnsi="Arial" w:cs="Arial"/>
                <w:b/>
                <w:sz w:val="20"/>
                <w:szCs w:val="20"/>
              </w:rPr>
              <w:t>Service Management Fee Revenue (i.e. Charges less DCA Commission Charges)</w:t>
            </w:r>
          </w:p>
        </w:tc>
        <w:tc>
          <w:tcPr>
            <w:tcW w:w="1915" w:type="dxa"/>
          </w:tcPr>
          <w:p w:rsidR="00D72414" w:rsidRDefault="00C0362E">
            <w:pPr>
              <w:rPr>
                <w:rFonts w:ascii="Arial" w:eastAsia="Arial" w:hAnsi="Arial" w:cs="Arial"/>
                <w:b/>
                <w:sz w:val="20"/>
                <w:szCs w:val="20"/>
              </w:rPr>
            </w:pPr>
            <w:r>
              <w:rPr>
                <w:rFonts w:ascii="Arial" w:eastAsia="Arial" w:hAnsi="Arial" w:cs="Arial"/>
                <w:b/>
                <w:sz w:val="20"/>
                <w:szCs w:val="20"/>
              </w:rPr>
              <w:t>&lt;£250k</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£250k - &lt;£350k</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£350k - &lt;£450k</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£450k - &lt;£550k</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£550k - &lt;£650k</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£650k &gt;</w:t>
            </w:r>
          </w:p>
        </w:tc>
      </w:tr>
      <w:tr w:rsidR="00D72414">
        <w:trPr>
          <w:trHeight w:val="1356"/>
        </w:trPr>
        <w:tc>
          <w:tcPr>
            <w:tcW w:w="1915" w:type="dxa"/>
          </w:tcPr>
          <w:p w:rsidR="00D72414" w:rsidRDefault="00C0362E">
            <w:pPr>
              <w:rPr>
                <w:rFonts w:ascii="Arial" w:eastAsia="Arial" w:hAnsi="Arial" w:cs="Arial"/>
                <w:b/>
                <w:sz w:val="20"/>
                <w:szCs w:val="20"/>
              </w:rPr>
            </w:pPr>
            <w:r>
              <w:rPr>
                <w:rFonts w:ascii="Arial" w:eastAsia="Arial" w:hAnsi="Arial" w:cs="Arial"/>
                <w:b/>
                <w:sz w:val="20"/>
                <w:szCs w:val="20"/>
              </w:rPr>
              <w:t>Service Management Fee - The Service also being delivered to HMRC</w:t>
            </w:r>
          </w:p>
          <w:p w:rsidR="00D72414" w:rsidRDefault="00D72414">
            <w:pPr>
              <w:jc w:val="center"/>
              <w:rPr>
                <w:rFonts w:ascii="Arial" w:eastAsia="Arial" w:hAnsi="Arial" w:cs="Arial"/>
                <w:b/>
                <w:sz w:val="20"/>
                <w:szCs w:val="20"/>
              </w:rPr>
            </w:pPr>
          </w:p>
        </w:tc>
        <w:tc>
          <w:tcPr>
            <w:tcW w:w="1915" w:type="dxa"/>
          </w:tcPr>
          <w:p w:rsidR="00D72414" w:rsidRDefault="00C0362E">
            <w:pPr>
              <w:rPr>
                <w:rFonts w:ascii="Arial" w:eastAsia="Arial" w:hAnsi="Arial" w:cs="Arial"/>
                <w:sz w:val="20"/>
                <w:szCs w:val="20"/>
              </w:rPr>
            </w:pPr>
            <w:r>
              <w:rPr>
                <w:rFonts w:ascii="Arial" w:eastAsia="Arial" w:hAnsi="Arial" w:cs="Arial"/>
                <w:sz w:val="20"/>
                <w:szCs w:val="20"/>
              </w:rPr>
              <w:t>%</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 xml:space="preserve">% </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w:t>
            </w:r>
          </w:p>
        </w:tc>
      </w:tr>
      <w:tr w:rsidR="00D72414">
        <w:trPr>
          <w:trHeight w:val="1248"/>
        </w:trPr>
        <w:tc>
          <w:tcPr>
            <w:tcW w:w="1915" w:type="dxa"/>
          </w:tcPr>
          <w:p w:rsidR="00D72414" w:rsidRDefault="00C0362E">
            <w:pPr>
              <w:rPr>
                <w:rFonts w:ascii="Arial" w:eastAsia="Arial" w:hAnsi="Arial" w:cs="Arial"/>
                <w:b/>
                <w:sz w:val="20"/>
                <w:szCs w:val="20"/>
              </w:rPr>
            </w:pPr>
            <w:r>
              <w:rPr>
                <w:rFonts w:ascii="Arial" w:eastAsia="Arial" w:hAnsi="Arial" w:cs="Arial"/>
                <w:b/>
                <w:sz w:val="20"/>
                <w:szCs w:val="20"/>
              </w:rPr>
              <w:t>Service Management Fee – The Service not being delivered to HMRC (i.e. Charges less DCA Commission Charges)</w:t>
            </w:r>
          </w:p>
        </w:tc>
        <w:tc>
          <w:tcPr>
            <w:tcW w:w="1915" w:type="dxa"/>
          </w:tcPr>
          <w:p w:rsidR="00D72414" w:rsidRDefault="00C0362E">
            <w:pPr>
              <w:rPr>
                <w:rFonts w:ascii="Arial" w:eastAsia="Arial" w:hAnsi="Arial" w:cs="Arial"/>
                <w:sz w:val="20"/>
                <w:szCs w:val="20"/>
              </w:rPr>
            </w:pPr>
            <w:r>
              <w:rPr>
                <w:rFonts w:ascii="Arial" w:eastAsia="Arial" w:hAnsi="Arial" w:cs="Arial"/>
                <w:sz w:val="20"/>
                <w:szCs w:val="20"/>
              </w:rPr>
              <w:t>%</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 xml:space="preserve">% </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w:t>
            </w:r>
          </w:p>
        </w:tc>
      </w:tr>
      <w:tr w:rsidR="00D72414">
        <w:trPr>
          <w:trHeight w:val="1150"/>
        </w:trPr>
        <w:tc>
          <w:tcPr>
            <w:tcW w:w="1915" w:type="dxa"/>
          </w:tcPr>
          <w:p w:rsidR="00D72414" w:rsidRDefault="00C0362E">
            <w:pPr>
              <w:rPr>
                <w:rFonts w:ascii="Arial" w:eastAsia="Arial" w:hAnsi="Arial" w:cs="Arial"/>
                <w:b/>
                <w:sz w:val="20"/>
                <w:szCs w:val="20"/>
              </w:rPr>
            </w:pPr>
            <w:r>
              <w:rPr>
                <w:rFonts w:ascii="Arial" w:eastAsia="Arial" w:hAnsi="Arial" w:cs="Arial"/>
                <w:b/>
                <w:sz w:val="20"/>
                <w:szCs w:val="20"/>
              </w:rPr>
              <w:t>Guidance</w:t>
            </w:r>
          </w:p>
        </w:tc>
        <w:tc>
          <w:tcPr>
            <w:tcW w:w="1915" w:type="dxa"/>
          </w:tcPr>
          <w:p w:rsidR="00D72414" w:rsidRDefault="00D72414">
            <w:pPr>
              <w:rPr>
                <w:rFonts w:ascii="Arial" w:eastAsia="Arial" w:hAnsi="Arial" w:cs="Arial"/>
                <w:sz w:val="20"/>
                <w:szCs w:val="20"/>
              </w:rPr>
            </w:pP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r>
      <w:tr w:rsidR="00D72414">
        <w:trPr>
          <w:trHeight w:val="230"/>
        </w:trPr>
        <w:tc>
          <w:tcPr>
            <w:tcW w:w="1915" w:type="dxa"/>
            <w:shd w:val="clear" w:color="auto" w:fill="000000"/>
          </w:tcPr>
          <w:p w:rsidR="00D72414" w:rsidRDefault="00D72414">
            <w:pPr>
              <w:rPr>
                <w:rFonts w:ascii="Arial" w:eastAsia="Arial" w:hAnsi="Arial" w:cs="Arial"/>
                <w:b/>
                <w:sz w:val="20"/>
                <w:szCs w:val="20"/>
              </w:rPr>
            </w:pPr>
          </w:p>
        </w:tc>
        <w:tc>
          <w:tcPr>
            <w:tcW w:w="1915" w:type="dxa"/>
            <w:shd w:val="clear" w:color="auto" w:fill="000000"/>
          </w:tcPr>
          <w:p w:rsidR="00D72414" w:rsidRDefault="00D72414">
            <w:pPr>
              <w:rPr>
                <w:rFonts w:ascii="Arial" w:eastAsia="Arial" w:hAnsi="Arial" w:cs="Arial"/>
                <w:b/>
                <w:sz w:val="20"/>
                <w:szCs w:val="20"/>
              </w:rPr>
            </w:pPr>
          </w:p>
        </w:tc>
        <w:tc>
          <w:tcPr>
            <w:tcW w:w="1916" w:type="dxa"/>
            <w:shd w:val="clear" w:color="auto" w:fill="000000"/>
          </w:tcPr>
          <w:p w:rsidR="00D72414" w:rsidRDefault="00D72414">
            <w:pPr>
              <w:rPr>
                <w:rFonts w:ascii="Arial" w:eastAsia="Arial" w:hAnsi="Arial" w:cs="Arial"/>
                <w:b/>
                <w:sz w:val="20"/>
                <w:szCs w:val="20"/>
              </w:rPr>
            </w:pPr>
          </w:p>
        </w:tc>
        <w:tc>
          <w:tcPr>
            <w:tcW w:w="1916" w:type="dxa"/>
            <w:shd w:val="clear" w:color="auto" w:fill="000000"/>
          </w:tcPr>
          <w:p w:rsidR="00D72414" w:rsidRDefault="00D72414">
            <w:pPr>
              <w:rPr>
                <w:rFonts w:ascii="Arial" w:eastAsia="Arial" w:hAnsi="Arial" w:cs="Arial"/>
                <w:b/>
                <w:sz w:val="20"/>
                <w:szCs w:val="20"/>
              </w:rPr>
            </w:pPr>
          </w:p>
        </w:tc>
        <w:tc>
          <w:tcPr>
            <w:tcW w:w="1916" w:type="dxa"/>
            <w:shd w:val="clear" w:color="auto" w:fill="000000"/>
          </w:tcPr>
          <w:p w:rsidR="00D72414" w:rsidRDefault="00D72414">
            <w:pPr>
              <w:rPr>
                <w:rFonts w:ascii="Arial" w:eastAsia="Arial" w:hAnsi="Arial" w:cs="Arial"/>
                <w:b/>
                <w:sz w:val="20"/>
                <w:szCs w:val="20"/>
              </w:rPr>
            </w:pPr>
          </w:p>
        </w:tc>
        <w:tc>
          <w:tcPr>
            <w:tcW w:w="1916" w:type="dxa"/>
            <w:shd w:val="clear" w:color="auto" w:fill="000000"/>
          </w:tcPr>
          <w:p w:rsidR="00D72414" w:rsidRDefault="00D72414">
            <w:pPr>
              <w:rPr>
                <w:rFonts w:ascii="Arial" w:eastAsia="Arial" w:hAnsi="Arial" w:cs="Arial"/>
                <w:b/>
                <w:sz w:val="20"/>
                <w:szCs w:val="20"/>
              </w:rPr>
            </w:pPr>
          </w:p>
        </w:tc>
        <w:tc>
          <w:tcPr>
            <w:tcW w:w="1916" w:type="dxa"/>
            <w:shd w:val="clear" w:color="auto" w:fill="000000"/>
          </w:tcPr>
          <w:p w:rsidR="00D72414" w:rsidRDefault="00D72414">
            <w:pPr>
              <w:rPr>
                <w:rFonts w:ascii="Arial" w:eastAsia="Arial" w:hAnsi="Arial" w:cs="Arial"/>
                <w:b/>
                <w:sz w:val="20"/>
                <w:szCs w:val="20"/>
              </w:rPr>
            </w:pPr>
          </w:p>
        </w:tc>
      </w:tr>
      <w:tr w:rsidR="00D72414">
        <w:trPr>
          <w:trHeight w:val="460"/>
        </w:trPr>
        <w:tc>
          <w:tcPr>
            <w:tcW w:w="1915" w:type="dxa"/>
            <w:shd w:val="clear" w:color="auto" w:fill="000000"/>
          </w:tcPr>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tc>
        <w:tc>
          <w:tcPr>
            <w:tcW w:w="1915" w:type="dxa"/>
            <w:shd w:val="clear" w:color="auto" w:fill="000000"/>
          </w:tcPr>
          <w:p w:rsidR="00D72414" w:rsidRDefault="00D72414">
            <w:pPr>
              <w:rPr>
                <w:rFonts w:ascii="Arial" w:eastAsia="Arial" w:hAnsi="Arial" w:cs="Arial"/>
                <w:b/>
                <w:sz w:val="20"/>
                <w:szCs w:val="20"/>
              </w:rPr>
            </w:pPr>
          </w:p>
        </w:tc>
        <w:tc>
          <w:tcPr>
            <w:tcW w:w="1916" w:type="dxa"/>
            <w:shd w:val="clear" w:color="auto" w:fill="000000"/>
          </w:tcPr>
          <w:p w:rsidR="00D72414" w:rsidRDefault="00D72414">
            <w:pPr>
              <w:rPr>
                <w:rFonts w:ascii="Arial" w:eastAsia="Arial" w:hAnsi="Arial" w:cs="Arial"/>
                <w:b/>
                <w:sz w:val="20"/>
                <w:szCs w:val="20"/>
              </w:rPr>
            </w:pPr>
          </w:p>
        </w:tc>
        <w:tc>
          <w:tcPr>
            <w:tcW w:w="1916" w:type="dxa"/>
            <w:shd w:val="clear" w:color="auto" w:fill="000000"/>
          </w:tcPr>
          <w:p w:rsidR="00D72414" w:rsidRDefault="00D72414">
            <w:pPr>
              <w:rPr>
                <w:rFonts w:ascii="Arial" w:eastAsia="Arial" w:hAnsi="Arial" w:cs="Arial"/>
                <w:b/>
                <w:sz w:val="20"/>
                <w:szCs w:val="20"/>
              </w:rPr>
            </w:pPr>
          </w:p>
        </w:tc>
        <w:tc>
          <w:tcPr>
            <w:tcW w:w="1916" w:type="dxa"/>
            <w:shd w:val="clear" w:color="auto" w:fill="000000"/>
          </w:tcPr>
          <w:p w:rsidR="00D72414" w:rsidRDefault="00D72414">
            <w:pPr>
              <w:rPr>
                <w:rFonts w:ascii="Arial" w:eastAsia="Arial" w:hAnsi="Arial" w:cs="Arial"/>
                <w:b/>
                <w:sz w:val="20"/>
                <w:szCs w:val="20"/>
              </w:rPr>
            </w:pPr>
          </w:p>
        </w:tc>
        <w:tc>
          <w:tcPr>
            <w:tcW w:w="1916" w:type="dxa"/>
            <w:shd w:val="clear" w:color="auto" w:fill="000000"/>
          </w:tcPr>
          <w:p w:rsidR="00D72414" w:rsidRDefault="00D72414">
            <w:pPr>
              <w:rPr>
                <w:rFonts w:ascii="Arial" w:eastAsia="Arial" w:hAnsi="Arial" w:cs="Arial"/>
                <w:b/>
                <w:sz w:val="20"/>
                <w:szCs w:val="20"/>
              </w:rPr>
            </w:pPr>
          </w:p>
        </w:tc>
        <w:tc>
          <w:tcPr>
            <w:tcW w:w="1916" w:type="dxa"/>
            <w:shd w:val="clear" w:color="auto" w:fill="000000"/>
          </w:tcPr>
          <w:p w:rsidR="00D72414" w:rsidRDefault="00D72414">
            <w:pPr>
              <w:rPr>
                <w:rFonts w:ascii="Arial" w:eastAsia="Arial" w:hAnsi="Arial" w:cs="Arial"/>
                <w:b/>
                <w:sz w:val="20"/>
                <w:szCs w:val="20"/>
              </w:rPr>
            </w:pPr>
          </w:p>
        </w:tc>
      </w:tr>
      <w:tr w:rsidR="00D72414">
        <w:trPr>
          <w:gridAfter w:val="2"/>
          <w:wAfter w:w="3832" w:type="dxa"/>
          <w:trHeight w:val="230"/>
        </w:trPr>
        <w:tc>
          <w:tcPr>
            <w:tcW w:w="1915"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Debt Type</w:t>
            </w:r>
          </w:p>
        </w:tc>
        <w:tc>
          <w:tcPr>
            <w:tcW w:w="1915"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High Balance</w:t>
            </w:r>
          </w:p>
        </w:tc>
        <w:tc>
          <w:tcPr>
            <w:tcW w:w="1916"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Medium Balance</w:t>
            </w:r>
          </w:p>
        </w:tc>
        <w:tc>
          <w:tcPr>
            <w:tcW w:w="1916"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Low Balance</w:t>
            </w:r>
          </w:p>
        </w:tc>
        <w:tc>
          <w:tcPr>
            <w:tcW w:w="1916"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Corporate</w:t>
            </w:r>
          </w:p>
        </w:tc>
      </w:tr>
      <w:tr w:rsidR="00D72414">
        <w:trPr>
          <w:gridAfter w:val="2"/>
          <w:wAfter w:w="3832" w:type="dxa"/>
          <w:trHeight w:val="690"/>
        </w:trPr>
        <w:tc>
          <w:tcPr>
            <w:tcW w:w="1915" w:type="dxa"/>
          </w:tcPr>
          <w:p w:rsidR="00D72414" w:rsidRDefault="00C0362E">
            <w:pPr>
              <w:rPr>
                <w:rFonts w:ascii="Arial" w:eastAsia="Arial" w:hAnsi="Arial" w:cs="Arial"/>
                <w:b/>
                <w:sz w:val="20"/>
                <w:szCs w:val="20"/>
              </w:rPr>
            </w:pPr>
            <w:r>
              <w:rPr>
                <w:rFonts w:ascii="Arial" w:eastAsia="Arial" w:hAnsi="Arial" w:cs="Arial"/>
                <w:b/>
                <w:sz w:val="20"/>
                <w:szCs w:val="20"/>
              </w:rPr>
              <w:lastRenderedPageBreak/>
              <w:t>DCA Commission Cap %</w:t>
            </w:r>
          </w:p>
        </w:tc>
        <w:tc>
          <w:tcPr>
            <w:tcW w:w="1915"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16" w:type="dxa"/>
          </w:tcPr>
          <w:p w:rsidR="00D72414" w:rsidRDefault="00C0362E">
            <w:pPr>
              <w:rPr>
                <w:rFonts w:ascii="Arial" w:eastAsia="Arial" w:hAnsi="Arial" w:cs="Arial"/>
                <w:b/>
                <w:sz w:val="20"/>
                <w:szCs w:val="20"/>
              </w:rPr>
            </w:pPr>
            <w:r>
              <w:rPr>
                <w:rFonts w:ascii="Arial" w:eastAsia="Arial" w:hAnsi="Arial" w:cs="Arial"/>
                <w:b/>
                <w:sz w:val="20"/>
                <w:szCs w:val="20"/>
              </w:rPr>
              <w:t>%</w:t>
            </w:r>
          </w:p>
        </w:tc>
      </w:tr>
    </w:tbl>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C0362E">
      <w:pPr>
        <w:spacing w:before="240"/>
        <w:rPr>
          <w:rFonts w:ascii="Arial" w:eastAsia="Arial" w:hAnsi="Arial" w:cs="Arial"/>
          <w:b/>
          <w:sz w:val="20"/>
          <w:szCs w:val="20"/>
        </w:rPr>
      </w:pPr>
      <w:r>
        <w:rPr>
          <w:rFonts w:ascii="Arial" w:eastAsia="Arial" w:hAnsi="Arial" w:cs="Arial"/>
          <w:b/>
          <w:sz w:val="20"/>
          <w:szCs w:val="20"/>
        </w:rPr>
        <w:t>Customer D - Student Loans Company (SLC)</w:t>
      </w:r>
    </w:p>
    <w:tbl>
      <w:tblPr>
        <w:tblStyle w:val="afffa"/>
        <w:tblW w:w="11458"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909"/>
        <w:gridCol w:w="1909"/>
        <w:gridCol w:w="1910"/>
        <w:gridCol w:w="1910"/>
        <w:gridCol w:w="1910"/>
        <w:gridCol w:w="1910"/>
      </w:tblGrid>
      <w:tr w:rsidR="00D72414">
        <w:trPr>
          <w:gridAfter w:val="5"/>
          <w:wAfter w:w="9549" w:type="dxa"/>
          <w:trHeight w:val="1386"/>
        </w:trPr>
        <w:tc>
          <w:tcPr>
            <w:tcW w:w="1909" w:type="dxa"/>
          </w:tcPr>
          <w:p w:rsidR="00D72414" w:rsidRDefault="00C0362E">
            <w:pPr>
              <w:rPr>
                <w:rFonts w:ascii="Arial" w:eastAsia="Arial" w:hAnsi="Arial" w:cs="Arial"/>
                <w:color w:val="FF0000"/>
                <w:sz w:val="20"/>
                <w:szCs w:val="20"/>
              </w:rPr>
            </w:pPr>
            <w:r>
              <w:rPr>
                <w:rFonts w:ascii="Arial" w:eastAsia="Arial" w:hAnsi="Arial" w:cs="Arial"/>
                <w:b/>
                <w:sz w:val="20"/>
                <w:szCs w:val="20"/>
              </w:rPr>
              <w:t>Service Management Fee % (Shall be the same across all Debt Types)</w:t>
            </w:r>
          </w:p>
        </w:tc>
      </w:tr>
      <w:tr w:rsidR="00D72414">
        <w:trPr>
          <w:trHeight w:val="924"/>
        </w:trPr>
        <w:tc>
          <w:tcPr>
            <w:tcW w:w="1909" w:type="dxa"/>
          </w:tcPr>
          <w:p w:rsidR="00D72414" w:rsidRDefault="00C0362E">
            <w:pPr>
              <w:rPr>
                <w:rFonts w:ascii="Arial" w:eastAsia="Arial" w:hAnsi="Arial" w:cs="Arial"/>
                <w:b/>
                <w:sz w:val="20"/>
                <w:szCs w:val="20"/>
              </w:rPr>
            </w:pPr>
            <w:r>
              <w:rPr>
                <w:rFonts w:ascii="Arial" w:eastAsia="Arial" w:hAnsi="Arial" w:cs="Arial"/>
                <w:b/>
                <w:sz w:val="20"/>
                <w:szCs w:val="20"/>
              </w:rPr>
              <w:t xml:space="preserve"> Service Management Fee Revenue (i.e. Charges less DCA Commission Charges)</w:t>
            </w:r>
          </w:p>
        </w:tc>
        <w:tc>
          <w:tcPr>
            <w:tcW w:w="1909" w:type="dxa"/>
          </w:tcPr>
          <w:p w:rsidR="00D72414" w:rsidRDefault="00C0362E">
            <w:pPr>
              <w:rPr>
                <w:rFonts w:ascii="Arial" w:eastAsia="Arial" w:hAnsi="Arial" w:cs="Arial"/>
                <w:b/>
                <w:sz w:val="20"/>
                <w:szCs w:val="20"/>
              </w:rPr>
            </w:pPr>
            <w:r>
              <w:rPr>
                <w:rFonts w:ascii="Arial" w:eastAsia="Arial" w:hAnsi="Arial" w:cs="Arial"/>
                <w:b/>
                <w:sz w:val="20"/>
                <w:szCs w:val="20"/>
              </w:rPr>
              <w:t>&lt;£100k</w:t>
            </w: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£100k - &lt;200k</w:t>
            </w: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£200k - &lt;300k</w:t>
            </w: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£300k – &lt; £400k</w:t>
            </w: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£400k &gt;</w:t>
            </w:r>
          </w:p>
        </w:tc>
      </w:tr>
      <w:tr w:rsidR="00D72414">
        <w:trPr>
          <w:trHeight w:val="1348"/>
        </w:trPr>
        <w:tc>
          <w:tcPr>
            <w:tcW w:w="1909" w:type="dxa"/>
          </w:tcPr>
          <w:p w:rsidR="00D72414" w:rsidRDefault="00C0362E">
            <w:pPr>
              <w:rPr>
                <w:rFonts w:ascii="Arial" w:eastAsia="Arial" w:hAnsi="Arial" w:cs="Arial"/>
                <w:b/>
                <w:sz w:val="20"/>
                <w:szCs w:val="20"/>
              </w:rPr>
            </w:pPr>
            <w:r>
              <w:rPr>
                <w:rFonts w:ascii="Arial" w:eastAsia="Arial" w:hAnsi="Arial" w:cs="Arial"/>
                <w:b/>
                <w:sz w:val="20"/>
                <w:szCs w:val="20"/>
              </w:rPr>
              <w:t>Service Management Fee - The Service also being delivered to HMRC</w:t>
            </w:r>
          </w:p>
          <w:p w:rsidR="00D72414" w:rsidRDefault="00D72414">
            <w:pPr>
              <w:jc w:val="center"/>
              <w:rPr>
                <w:rFonts w:ascii="Arial" w:eastAsia="Arial" w:hAnsi="Arial" w:cs="Arial"/>
                <w:b/>
                <w:sz w:val="20"/>
                <w:szCs w:val="20"/>
              </w:rPr>
            </w:pPr>
          </w:p>
        </w:tc>
        <w:tc>
          <w:tcPr>
            <w:tcW w:w="1909" w:type="dxa"/>
          </w:tcPr>
          <w:p w:rsidR="00D72414" w:rsidRDefault="00C0362E">
            <w:pPr>
              <w:rPr>
                <w:rFonts w:ascii="Arial" w:eastAsia="Arial" w:hAnsi="Arial" w:cs="Arial"/>
                <w:sz w:val="20"/>
                <w:szCs w:val="20"/>
              </w:rPr>
            </w:pPr>
            <w:r>
              <w:rPr>
                <w:rFonts w:ascii="Arial" w:eastAsia="Arial" w:hAnsi="Arial" w:cs="Arial"/>
                <w:sz w:val="20"/>
                <w:szCs w:val="20"/>
              </w:rPr>
              <w:t>%</w:t>
            </w: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 xml:space="preserve">% </w:t>
            </w: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w:t>
            </w:r>
          </w:p>
        </w:tc>
      </w:tr>
      <w:tr w:rsidR="00D72414">
        <w:trPr>
          <w:trHeight w:val="1370"/>
        </w:trPr>
        <w:tc>
          <w:tcPr>
            <w:tcW w:w="1909" w:type="dxa"/>
          </w:tcPr>
          <w:p w:rsidR="00D72414" w:rsidRDefault="00C0362E">
            <w:pPr>
              <w:rPr>
                <w:rFonts w:ascii="Arial" w:eastAsia="Arial" w:hAnsi="Arial" w:cs="Arial"/>
                <w:b/>
                <w:sz w:val="20"/>
                <w:szCs w:val="20"/>
              </w:rPr>
            </w:pPr>
            <w:r>
              <w:rPr>
                <w:rFonts w:ascii="Arial" w:eastAsia="Arial" w:hAnsi="Arial" w:cs="Arial"/>
                <w:b/>
                <w:sz w:val="20"/>
                <w:szCs w:val="20"/>
              </w:rPr>
              <w:t>Service Management Fee – The Service not being delivered to HMRC</w:t>
            </w:r>
          </w:p>
        </w:tc>
        <w:tc>
          <w:tcPr>
            <w:tcW w:w="1909" w:type="dxa"/>
          </w:tcPr>
          <w:p w:rsidR="00D72414" w:rsidRDefault="00C0362E">
            <w:pPr>
              <w:rPr>
                <w:rFonts w:ascii="Arial" w:eastAsia="Arial" w:hAnsi="Arial" w:cs="Arial"/>
                <w:sz w:val="20"/>
                <w:szCs w:val="20"/>
              </w:rPr>
            </w:pPr>
            <w:r>
              <w:rPr>
                <w:rFonts w:ascii="Arial" w:eastAsia="Arial" w:hAnsi="Arial" w:cs="Arial"/>
                <w:sz w:val="20"/>
                <w:szCs w:val="20"/>
              </w:rPr>
              <w:t>%</w:t>
            </w: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 xml:space="preserve">% </w:t>
            </w: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w:t>
            </w:r>
          </w:p>
        </w:tc>
      </w:tr>
      <w:tr w:rsidR="00D72414">
        <w:trPr>
          <w:trHeight w:val="1155"/>
        </w:trPr>
        <w:tc>
          <w:tcPr>
            <w:tcW w:w="1909" w:type="dxa"/>
          </w:tcPr>
          <w:p w:rsidR="00D72414" w:rsidRDefault="00C0362E">
            <w:pPr>
              <w:rPr>
                <w:rFonts w:ascii="Arial" w:eastAsia="Arial" w:hAnsi="Arial" w:cs="Arial"/>
                <w:b/>
                <w:sz w:val="20"/>
                <w:szCs w:val="20"/>
              </w:rPr>
            </w:pPr>
            <w:r>
              <w:rPr>
                <w:rFonts w:ascii="Arial" w:eastAsia="Arial" w:hAnsi="Arial" w:cs="Arial"/>
                <w:b/>
                <w:sz w:val="20"/>
                <w:szCs w:val="20"/>
              </w:rPr>
              <w:lastRenderedPageBreak/>
              <w:t>Guidance</w:t>
            </w:r>
          </w:p>
        </w:tc>
        <w:tc>
          <w:tcPr>
            <w:tcW w:w="1909" w:type="dxa"/>
          </w:tcPr>
          <w:p w:rsidR="00D72414" w:rsidRDefault="00D72414">
            <w:pPr>
              <w:rPr>
                <w:rFonts w:ascii="Arial" w:eastAsia="Arial" w:hAnsi="Arial" w:cs="Arial"/>
                <w:sz w:val="20"/>
                <w:szCs w:val="20"/>
              </w:rPr>
            </w:pP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r>
      <w:tr w:rsidR="00D72414">
        <w:trPr>
          <w:trHeight w:val="231"/>
        </w:trPr>
        <w:tc>
          <w:tcPr>
            <w:tcW w:w="1909" w:type="dxa"/>
            <w:shd w:val="clear" w:color="auto" w:fill="000000"/>
          </w:tcPr>
          <w:p w:rsidR="00D72414" w:rsidRDefault="00D72414">
            <w:pPr>
              <w:rPr>
                <w:rFonts w:ascii="Arial" w:eastAsia="Arial" w:hAnsi="Arial" w:cs="Arial"/>
                <w:b/>
                <w:sz w:val="20"/>
                <w:szCs w:val="20"/>
              </w:rPr>
            </w:pPr>
          </w:p>
        </w:tc>
        <w:tc>
          <w:tcPr>
            <w:tcW w:w="1909" w:type="dxa"/>
            <w:shd w:val="clear" w:color="auto" w:fill="000000"/>
          </w:tcPr>
          <w:p w:rsidR="00D72414" w:rsidRDefault="00D72414">
            <w:pPr>
              <w:rPr>
                <w:rFonts w:ascii="Arial" w:eastAsia="Arial" w:hAnsi="Arial" w:cs="Arial"/>
                <w:b/>
                <w:sz w:val="20"/>
                <w:szCs w:val="20"/>
              </w:rPr>
            </w:pPr>
          </w:p>
        </w:tc>
        <w:tc>
          <w:tcPr>
            <w:tcW w:w="1910" w:type="dxa"/>
            <w:shd w:val="clear" w:color="auto" w:fill="000000"/>
          </w:tcPr>
          <w:p w:rsidR="00D72414" w:rsidRDefault="00D72414">
            <w:pPr>
              <w:rPr>
                <w:rFonts w:ascii="Arial" w:eastAsia="Arial" w:hAnsi="Arial" w:cs="Arial"/>
                <w:b/>
                <w:sz w:val="20"/>
                <w:szCs w:val="20"/>
              </w:rPr>
            </w:pPr>
          </w:p>
        </w:tc>
        <w:tc>
          <w:tcPr>
            <w:tcW w:w="1910" w:type="dxa"/>
            <w:shd w:val="clear" w:color="auto" w:fill="000000"/>
          </w:tcPr>
          <w:p w:rsidR="00D72414" w:rsidRDefault="00D72414">
            <w:pPr>
              <w:rPr>
                <w:rFonts w:ascii="Arial" w:eastAsia="Arial" w:hAnsi="Arial" w:cs="Arial"/>
                <w:b/>
                <w:sz w:val="20"/>
                <w:szCs w:val="20"/>
              </w:rPr>
            </w:pPr>
          </w:p>
        </w:tc>
        <w:tc>
          <w:tcPr>
            <w:tcW w:w="1910" w:type="dxa"/>
            <w:shd w:val="clear" w:color="auto" w:fill="000000"/>
          </w:tcPr>
          <w:p w:rsidR="00D72414" w:rsidRDefault="00D72414">
            <w:pPr>
              <w:rPr>
                <w:rFonts w:ascii="Arial" w:eastAsia="Arial" w:hAnsi="Arial" w:cs="Arial"/>
                <w:b/>
                <w:sz w:val="20"/>
                <w:szCs w:val="20"/>
              </w:rPr>
            </w:pPr>
          </w:p>
        </w:tc>
        <w:tc>
          <w:tcPr>
            <w:tcW w:w="1910" w:type="dxa"/>
            <w:shd w:val="clear" w:color="auto" w:fill="000000"/>
          </w:tcPr>
          <w:p w:rsidR="00D72414" w:rsidRDefault="00D72414">
            <w:pPr>
              <w:rPr>
                <w:rFonts w:ascii="Arial" w:eastAsia="Arial" w:hAnsi="Arial" w:cs="Arial"/>
                <w:b/>
                <w:sz w:val="20"/>
                <w:szCs w:val="20"/>
              </w:rPr>
            </w:pPr>
          </w:p>
        </w:tc>
      </w:tr>
      <w:tr w:rsidR="00D72414">
        <w:trPr>
          <w:trHeight w:val="462"/>
        </w:trPr>
        <w:tc>
          <w:tcPr>
            <w:tcW w:w="1909" w:type="dxa"/>
            <w:shd w:val="clear" w:color="auto" w:fill="000000"/>
          </w:tcPr>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tc>
        <w:tc>
          <w:tcPr>
            <w:tcW w:w="1909" w:type="dxa"/>
            <w:shd w:val="clear" w:color="auto" w:fill="000000"/>
          </w:tcPr>
          <w:p w:rsidR="00D72414" w:rsidRDefault="00D72414">
            <w:pPr>
              <w:rPr>
                <w:rFonts w:ascii="Arial" w:eastAsia="Arial" w:hAnsi="Arial" w:cs="Arial"/>
                <w:b/>
                <w:sz w:val="20"/>
                <w:szCs w:val="20"/>
              </w:rPr>
            </w:pPr>
          </w:p>
        </w:tc>
        <w:tc>
          <w:tcPr>
            <w:tcW w:w="1910" w:type="dxa"/>
            <w:shd w:val="clear" w:color="auto" w:fill="000000"/>
          </w:tcPr>
          <w:p w:rsidR="00D72414" w:rsidRDefault="00D72414">
            <w:pPr>
              <w:rPr>
                <w:rFonts w:ascii="Arial" w:eastAsia="Arial" w:hAnsi="Arial" w:cs="Arial"/>
                <w:b/>
                <w:sz w:val="20"/>
                <w:szCs w:val="20"/>
              </w:rPr>
            </w:pPr>
          </w:p>
        </w:tc>
        <w:tc>
          <w:tcPr>
            <w:tcW w:w="1910" w:type="dxa"/>
            <w:shd w:val="clear" w:color="auto" w:fill="000000"/>
          </w:tcPr>
          <w:p w:rsidR="00D72414" w:rsidRDefault="00D72414">
            <w:pPr>
              <w:rPr>
                <w:rFonts w:ascii="Arial" w:eastAsia="Arial" w:hAnsi="Arial" w:cs="Arial"/>
                <w:b/>
                <w:sz w:val="20"/>
                <w:szCs w:val="20"/>
              </w:rPr>
            </w:pPr>
          </w:p>
        </w:tc>
        <w:tc>
          <w:tcPr>
            <w:tcW w:w="1910" w:type="dxa"/>
            <w:shd w:val="clear" w:color="auto" w:fill="000000"/>
          </w:tcPr>
          <w:p w:rsidR="00D72414" w:rsidRDefault="00D72414">
            <w:pPr>
              <w:rPr>
                <w:rFonts w:ascii="Arial" w:eastAsia="Arial" w:hAnsi="Arial" w:cs="Arial"/>
                <w:b/>
                <w:sz w:val="20"/>
                <w:szCs w:val="20"/>
              </w:rPr>
            </w:pPr>
          </w:p>
        </w:tc>
        <w:tc>
          <w:tcPr>
            <w:tcW w:w="1910" w:type="dxa"/>
            <w:shd w:val="clear" w:color="auto" w:fill="000000"/>
          </w:tcPr>
          <w:p w:rsidR="00D72414" w:rsidRDefault="00D72414">
            <w:pPr>
              <w:rPr>
                <w:rFonts w:ascii="Arial" w:eastAsia="Arial" w:hAnsi="Arial" w:cs="Arial"/>
                <w:b/>
                <w:sz w:val="20"/>
                <w:szCs w:val="20"/>
              </w:rPr>
            </w:pPr>
          </w:p>
        </w:tc>
      </w:tr>
      <w:tr w:rsidR="00D72414">
        <w:trPr>
          <w:trHeight w:val="231"/>
        </w:trPr>
        <w:tc>
          <w:tcPr>
            <w:tcW w:w="1909"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Debt Type</w:t>
            </w:r>
          </w:p>
        </w:tc>
        <w:tc>
          <w:tcPr>
            <w:tcW w:w="1909"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Grant Overpayment (GO)</w:t>
            </w:r>
          </w:p>
        </w:tc>
        <w:tc>
          <w:tcPr>
            <w:tcW w:w="1910"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Loan Overpayment (LOP)</w:t>
            </w:r>
          </w:p>
        </w:tc>
        <w:tc>
          <w:tcPr>
            <w:tcW w:w="1910"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Repayment Grant Overpayment (RGO)</w:t>
            </w:r>
          </w:p>
        </w:tc>
        <w:tc>
          <w:tcPr>
            <w:tcW w:w="1910" w:type="dxa"/>
            <w:shd w:val="clear" w:color="auto" w:fill="FFFFFF"/>
          </w:tcPr>
          <w:p w:rsidR="00D72414" w:rsidRDefault="00D72414">
            <w:pPr>
              <w:rPr>
                <w:rFonts w:ascii="Arial" w:eastAsia="Arial" w:hAnsi="Arial" w:cs="Arial"/>
                <w:b/>
                <w:sz w:val="20"/>
                <w:szCs w:val="20"/>
              </w:rPr>
            </w:pPr>
          </w:p>
        </w:tc>
        <w:tc>
          <w:tcPr>
            <w:tcW w:w="1910" w:type="dxa"/>
            <w:shd w:val="clear" w:color="auto" w:fill="FFFFFF"/>
          </w:tcPr>
          <w:p w:rsidR="00D72414" w:rsidRDefault="00D72414">
            <w:pPr>
              <w:rPr>
                <w:rFonts w:ascii="Arial" w:eastAsia="Arial" w:hAnsi="Arial" w:cs="Arial"/>
                <w:b/>
                <w:sz w:val="20"/>
                <w:szCs w:val="20"/>
              </w:rPr>
            </w:pPr>
          </w:p>
        </w:tc>
      </w:tr>
      <w:tr w:rsidR="00D72414">
        <w:trPr>
          <w:gridAfter w:val="2"/>
          <w:wAfter w:w="3820" w:type="dxa"/>
          <w:trHeight w:val="693"/>
        </w:trPr>
        <w:tc>
          <w:tcPr>
            <w:tcW w:w="1909" w:type="dxa"/>
          </w:tcPr>
          <w:p w:rsidR="00D72414" w:rsidRDefault="00C0362E">
            <w:pPr>
              <w:rPr>
                <w:rFonts w:ascii="Arial" w:eastAsia="Arial" w:hAnsi="Arial" w:cs="Arial"/>
                <w:b/>
                <w:sz w:val="20"/>
                <w:szCs w:val="20"/>
              </w:rPr>
            </w:pPr>
            <w:r>
              <w:rPr>
                <w:rFonts w:ascii="Arial" w:eastAsia="Arial" w:hAnsi="Arial" w:cs="Arial"/>
                <w:b/>
                <w:sz w:val="20"/>
                <w:szCs w:val="20"/>
              </w:rPr>
              <w:t>DCA Commission Cap %</w:t>
            </w:r>
          </w:p>
        </w:tc>
        <w:tc>
          <w:tcPr>
            <w:tcW w:w="1909"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10" w:type="dxa"/>
          </w:tcPr>
          <w:p w:rsidR="00D72414" w:rsidRDefault="00C0362E">
            <w:pPr>
              <w:rPr>
                <w:rFonts w:ascii="Arial" w:eastAsia="Arial" w:hAnsi="Arial" w:cs="Arial"/>
                <w:b/>
                <w:sz w:val="20"/>
                <w:szCs w:val="20"/>
              </w:rPr>
            </w:pPr>
            <w:r>
              <w:rPr>
                <w:rFonts w:ascii="Arial" w:eastAsia="Arial" w:hAnsi="Arial" w:cs="Arial"/>
                <w:b/>
                <w:sz w:val="20"/>
                <w:szCs w:val="20"/>
              </w:rPr>
              <w:t>%</w:t>
            </w:r>
          </w:p>
        </w:tc>
      </w:tr>
    </w:tbl>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p w:rsidR="00D72414" w:rsidRDefault="00C0362E">
      <w:pPr>
        <w:rPr>
          <w:rFonts w:ascii="Arial" w:eastAsia="Arial" w:hAnsi="Arial" w:cs="Arial"/>
          <w:b/>
          <w:sz w:val="20"/>
          <w:szCs w:val="20"/>
        </w:rPr>
      </w:pPr>
      <w:r>
        <w:rPr>
          <w:rFonts w:ascii="Arial" w:eastAsia="Arial" w:hAnsi="Arial" w:cs="Arial"/>
          <w:b/>
          <w:sz w:val="20"/>
          <w:szCs w:val="20"/>
        </w:rPr>
        <w:t>Customer E - The Home Office (HO)</w:t>
      </w:r>
    </w:p>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tbl>
      <w:tblPr>
        <w:tblStyle w:val="afffb"/>
        <w:tblW w:w="1153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922"/>
        <w:gridCol w:w="1922"/>
        <w:gridCol w:w="1923"/>
        <w:gridCol w:w="1923"/>
        <w:gridCol w:w="1923"/>
        <w:gridCol w:w="1923"/>
      </w:tblGrid>
      <w:tr w:rsidR="00D72414">
        <w:trPr>
          <w:gridAfter w:val="5"/>
          <w:wAfter w:w="9614" w:type="dxa"/>
          <w:trHeight w:val="1428"/>
        </w:trPr>
        <w:tc>
          <w:tcPr>
            <w:tcW w:w="1922" w:type="dxa"/>
          </w:tcPr>
          <w:p w:rsidR="00D72414" w:rsidRDefault="00C0362E">
            <w:pPr>
              <w:rPr>
                <w:rFonts w:ascii="Arial" w:eastAsia="Arial" w:hAnsi="Arial" w:cs="Arial"/>
                <w:color w:val="FF0000"/>
                <w:sz w:val="20"/>
                <w:szCs w:val="20"/>
              </w:rPr>
            </w:pPr>
            <w:r>
              <w:rPr>
                <w:rFonts w:ascii="Arial" w:eastAsia="Arial" w:hAnsi="Arial" w:cs="Arial"/>
                <w:b/>
                <w:sz w:val="20"/>
                <w:szCs w:val="20"/>
              </w:rPr>
              <w:lastRenderedPageBreak/>
              <w:t>Service Management Fee % (Shall be the same across all Debt Types)</w:t>
            </w:r>
          </w:p>
        </w:tc>
      </w:tr>
      <w:tr w:rsidR="00D72414">
        <w:trPr>
          <w:trHeight w:val="952"/>
        </w:trPr>
        <w:tc>
          <w:tcPr>
            <w:tcW w:w="1922" w:type="dxa"/>
          </w:tcPr>
          <w:p w:rsidR="00D72414" w:rsidRDefault="00C0362E">
            <w:pPr>
              <w:rPr>
                <w:rFonts w:ascii="Arial" w:eastAsia="Arial" w:hAnsi="Arial" w:cs="Arial"/>
                <w:b/>
                <w:sz w:val="20"/>
                <w:szCs w:val="20"/>
              </w:rPr>
            </w:pPr>
            <w:r>
              <w:rPr>
                <w:rFonts w:ascii="Arial" w:eastAsia="Arial" w:hAnsi="Arial" w:cs="Arial"/>
                <w:b/>
                <w:sz w:val="20"/>
                <w:szCs w:val="20"/>
              </w:rPr>
              <w:t>Service Management Fee Revenue (i.e. Charges less DCA Commission Charges)</w:t>
            </w:r>
          </w:p>
        </w:tc>
        <w:tc>
          <w:tcPr>
            <w:tcW w:w="1922" w:type="dxa"/>
          </w:tcPr>
          <w:p w:rsidR="00D72414" w:rsidRDefault="00C0362E">
            <w:pPr>
              <w:rPr>
                <w:rFonts w:ascii="Arial" w:eastAsia="Arial" w:hAnsi="Arial" w:cs="Arial"/>
                <w:b/>
                <w:sz w:val="20"/>
                <w:szCs w:val="20"/>
              </w:rPr>
            </w:pPr>
            <w:r>
              <w:rPr>
                <w:rFonts w:ascii="Arial" w:eastAsia="Arial" w:hAnsi="Arial" w:cs="Arial"/>
                <w:b/>
                <w:sz w:val="20"/>
                <w:szCs w:val="20"/>
              </w:rPr>
              <w:t>&gt;£40k</w:t>
            </w:r>
          </w:p>
        </w:tc>
        <w:tc>
          <w:tcPr>
            <w:tcW w:w="1923" w:type="dxa"/>
          </w:tcPr>
          <w:p w:rsidR="00D72414" w:rsidRDefault="00C0362E">
            <w:pPr>
              <w:rPr>
                <w:rFonts w:ascii="Arial" w:eastAsia="Arial" w:hAnsi="Arial" w:cs="Arial"/>
                <w:b/>
                <w:sz w:val="20"/>
                <w:szCs w:val="20"/>
              </w:rPr>
            </w:pPr>
            <w:r>
              <w:rPr>
                <w:rFonts w:ascii="Arial" w:eastAsia="Arial" w:hAnsi="Arial" w:cs="Arial"/>
                <w:b/>
                <w:sz w:val="20"/>
                <w:szCs w:val="20"/>
              </w:rPr>
              <w:t>£40k - &lt;£60k</w:t>
            </w:r>
          </w:p>
        </w:tc>
        <w:tc>
          <w:tcPr>
            <w:tcW w:w="1923" w:type="dxa"/>
          </w:tcPr>
          <w:p w:rsidR="00D72414" w:rsidRDefault="00C0362E">
            <w:pPr>
              <w:rPr>
                <w:rFonts w:ascii="Arial" w:eastAsia="Arial" w:hAnsi="Arial" w:cs="Arial"/>
                <w:b/>
                <w:sz w:val="20"/>
                <w:szCs w:val="20"/>
              </w:rPr>
            </w:pPr>
            <w:r>
              <w:rPr>
                <w:rFonts w:ascii="Arial" w:eastAsia="Arial" w:hAnsi="Arial" w:cs="Arial"/>
                <w:b/>
                <w:sz w:val="20"/>
                <w:szCs w:val="20"/>
              </w:rPr>
              <w:t>£60k - &lt;£80k</w:t>
            </w:r>
          </w:p>
        </w:tc>
        <w:tc>
          <w:tcPr>
            <w:tcW w:w="1923" w:type="dxa"/>
          </w:tcPr>
          <w:p w:rsidR="00D72414" w:rsidRDefault="00C0362E">
            <w:pPr>
              <w:rPr>
                <w:rFonts w:ascii="Arial" w:eastAsia="Arial" w:hAnsi="Arial" w:cs="Arial"/>
                <w:b/>
                <w:sz w:val="20"/>
                <w:szCs w:val="20"/>
              </w:rPr>
            </w:pPr>
            <w:r>
              <w:rPr>
                <w:rFonts w:ascii="Arial" w:eastAsia="Arial" w:hAnsi="Arial" w:cs="Arial"/>
                <w:b/>
                <w:sz w:val="20"/>
                <w:szCs w:val="20"/>
              </w:rPr>
              <w:t>£80k - £&lt;100k</w:t>
            </w:r>
          </w:p>
        </w:tc>
        <w:tc>
          <w:tcPr>
            <w:tcW w:w="1923" w:type="dxa"/>
          </w:tcPr>
          <w:p w:rsidR="00D72414" w:rsidRDefault="00C0362E">
            <w:pPr>
              <w:rPr>
                <w:rFonts w:ascii="Arial" w:eastAsia="Arial" w:hAnsi="Arial" w:cs="Arial"/>
                <w:b/>
                <w:sz w:val="20"/>
                <w:szCs w:val="20"/>
              </w:rPr>
            </w:pPr>
            <w:r>
              <w:rPr>
                <w:rFonts w:ascii="Arial" w:eastAsia="Arial" w:hAnsi="Arial" w:cs="Arial"/>
                <w:b/>
                <w:sz w:val="20"/>
                <w:szCs w:val="20"/>
              </w:rPr>
              <w:t>£100k &gt;</w:t>
            </w:r>
          </w:p>
        </w:tc>
      </w:tr>
      <w:tr w:rsidR="00D72414">
        <w:trPr>
          <w:trHeight w:val="1428"/>
        </w:trPr>
        <w:tc>
          <w:tcPr>
            <w:tcW w:w="1922" w:type="dxa"/>
          </w:tcPr>
          <w:p w:rsidR="00D72414" w:rsidRDefault="00C0362E">
            <w:pPr>
              <w:rPr>
                <w:rFonts w:ascii="Arial" w:eastAsia="Arial" w:hAnsi="Arial" w:cs="Arial"/>
                <w:b/>
                <w:sz w:val="20"/>
                <w:szCs w:val="20"/>
              </w:rPr>
            </w:pPr>
            <w:r>
              <w:rPr>
                <w:rFonts w:ascii="Arial" w:eastAsia="Arial" w:hAnsi="Arial" w:cs="Arial"/>
                <w:b/>
                <w:sz w:val="20"/>
                <w:szCs w:val="20"/>
              </w:rPr>
              <w:t>Service Management Fee - The Service also being delivered to HMRC</w:t>
            </w:r>
          </w:p>
          <w:p w:rsidR="00D72414" w:rsidRDefault="00D72414">
            <w:pPr>
              <w:jc w:val="center"/>
              <w:rPr>
                <w:rFonts w:ascii="Arial" w:eastAsia="Arial" w:hAnsi="Arial" w:cs="Arial"/>
                <w:b/>
                <w:sz w:val="20"/>
                <w:szCs w:val="20"/>
              </w:rPr>
            </w:pPr>
          </w:p>
        </w:tc>
        <w:tc>
          <w:tcPr>
            <w:tcW w:w="1922" w:type="dxa"/>
          </w:tcPr>
          <w:p w:rsidR="00D72414" w:rsidRDefault="00C0362E">
            <w:pPr>
              <w:rPr>
                <w:rFonts w:ascii="Arial" w:eastAsia="Arial" w:hAnsi="Arial" w:cs="Arial"/>
                <w:sz w:val="20"/>
                <w:szCs w:val="20"/>
              </w:rPr>
            </w:pPr>
            <w:r>
              <w:rPr>
                <w:rFonts w:ascii="Arial" w:eastAsia="Arial" w:hAnsi="Arial" w:cs="Arial"/>
                <w:sz w:val="20"/>
                <w:szCs w:val="20"/>
              </w:rPr>
              <w:t>%</w:t>
            </w:r>
          </w:p>
        </w:tc>
        <w:tc>
          <w:tcPr>
            <w:tcW w:w="1923" w:type="dxa"/>
          </w:tcPr>
          <w:p w:rsidR="00D72414" w:rsidRDefault="00C0362E">
            <w:pPr>
              <w:rPr>
                <w:rFonts w:ascii="Arial" w:eastAsia="Arial" w:hAnsi="Arial" w:cs="Arial"/>
                <w:b/>
                <w:sz w:val="20"/>
                <w:szCs w:val="20"/>
              </w:rPr>
            </w:pPr>
            <w:r>
              <w:rPr>
                <w:rFonts w:ascii="Arial" w:eastAsia="Arial" w:hAnsi="Arial" w:cs="Arial"/>
                <w:b/>
                <w:sz w:val="20"/>
                <w:szCs w:val="20"/>
              </w:rPr>
              <w:t xml:space="preserve">% </w:t>
            </w:r>
          </w:p>
        </w:tc>
        <w:tc>
          <w:tcPr>
            <w:tcW w:w="1923"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23"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23" w:type="dxa"/>
          </w:tcPr>
          <w:p w:rsidR="00D72414" w:rsidRDefault="00C0362E">
            <w:pPr>
              <w:rPr>
                <w:rFonts w:ascii="Arial" w:eastAsia="Arial" w:hAnsi="Arial" w:cs="Arial"/>
                <w:b/>
                <w:sz w:val="20"/>
                <w:szCs w:val="20"/>
              </w:rPr>
            </w:pPr>
            <w:r>
              <w:rPr>
                <w:rFonts w:ascii="Arial" w:eastAsia="Arial" w:hAnsi="Arial" w:cs="Arial"/>
                <w:b/>
                <w:sz w:val="20"/>
                <w:szCs w:val="20"/>
              </w:rPr>
              <w:t>%</w:t>
            </w:r>
          </w:p>
        </w:tc>
      </w:tr>
      <w:tr w:rsidR="00D72414">
        <w:trPr>
          <w:trHeight w:val="1386"/>
        </w:trPr>
        <w:tc>
          <w:tcPr>
            <w:tcW w:w="1922" w:type="dxa"/>
          </w:tcPr>
          <w:p w:rsidR="00D72414" w:rsidRDefault="00C0362E">
            <w:pPr>
              <w:rPr>
                <w:rFonts w:ascii="Arial" w:eastAsia="Arial" w:hAnsi="Arial" w:cs="Arial"/>
                <w:b/>
                <w:sz w:val="20"/>
                <w:szCs w:val="20"/>
              </w:rPr>
            </w:pPr>
            <w:r>
              <w:rPr>
                <w:rFonts w:ascii="Arial" w:eastAsia="Arial" w:hAnsi="Arial" w:cs="Arial"/>
                <w:b/>
                <w:sz w:val="20"/>
                <w:szCs w:val="20"/>
              </w:rPr>
              <w:t>Service Management Fee – The Service not being delivered to HMRC</w:t>
            </w:r>
          </w:p>
        </w:tc>
        <w:tc>
          <w:tcPr>
            <w:tcW w:w="1922" w:type="dxa"/>
          </w:tcPr>
          <w:p w:rsidR="00D72414" w:rsidRDefault="00C0362E">
            <w:pPr>
              <w:rPr>
                <w:rFonts w:ascii="Arial" w:eastAsia="Arial" w:hAnsi="Arial" w:cs="Arial"/>
                <w:sz w:val="20"/>
                <w:szCs w:val="20"/>
              </w:rPr>
            </w:pPr>
            <w:r>
              <w:rPr>
                <w:rFonts w:ascii="Arial" w:eastAsia="Arial" w:hAnsi="Arial" w:cs="Arial"/>
                <w:sz w:val="20"/>
                <w:szCs w:val="20"/>
              </w:rPr>
              <w:t>%</w:t>
            </w:r>
          </w:p>
        </w:tc>
        <w:tc>
          <w:tcPr>
            <w:tcW w:w="1923" w:type="dxa"/>
          </w:tcPr>
          <w:p w:rsidR="00D72414" w:rsidRDefault="00C0362E">
            <w:pPr>
              <w:rPr>
                <w:rFonts w:ascii="Arial" w:eastAsia="Arial" w:hAnsi="Arial" w:cs="Arial"/>
                <w:b/>
                <w:sz w:val="20"/>
                <w:szCs w:val="20"/>
              </w:rPr>
            </w:pPr>
            <w:r>
              <w:rPr>
                <w:rFonts w:ascii="Arial" w:eastAsia="Arial" w:hAnsi="Arial" w:cs="Arial"/>
                <w:b/>
                <w:sz w:val="20"/>
                <w:szCs w:val="20"/>
              </w:rPr>
              <w:t xml:space="preserve">% </w:t>
            </w:r>
          </w:p>
        </w:tc>
        <w:tc>
          <w:tcPr>
            <w:tcW w:w="1923"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23" w:type="dxa"/>
          </w:tcPr>
          <w:p w:rsidR="00D72414" w:rsidRDefault="00C0362E">
            <w:pPr>
              <w:rPr>
                <w:rFonts w:ascii="Arial" w:eastAsia="Arial" w:hAnsi="Arial" w:cs="Arial"/>
                <w:b/>
                <w:sz w:val="20"/>
                <w:szCs w:val="20"/>
              </w:rPr>
            </w:pPr>
            <w:r>
              <w:rPr>
                <w:rFonts w:ascii="Arial" w:eastAsia="Arial" w:hAnsi="Arial" w:cs="Arial"/>
                <w:b/>
                <w:sz w:val="20"/>
                <w:szCs w:val="20"/>
              </w:rPr>
              <w:t>%</w:t>
            </w:r>
          </w:p>
        </w:tc>
        <w:tc>
          <w:tcPr>
            <w:tcW w:w="1923" w:type="dxa"/>
          </w:tcPr>
          <w:p w:rsidR="00D72414" w:rsidRDefault="00C0362E">
            <w:pPr>
              <w:rPr>
                <w:rFonts w:ascii="Arial" w:eastAsia="Arial" w:hAnsi="Arial" w:cs="Arial"/>
                <w:b/>
                <w:sz w:val="20"/>
                <w:szCs w:val="20"/>
              </w:rPr>
            </w:pPr>
            <w:r>
              <w:rPr>
                <w:rFonts w:ascii="Arial" w:eastAsia="Arial" w:hAnsi="Arial" w:cs="Arial"/>
                <w:b/>
                <w:sz w:val="20"/>
                <w:szCs w:val="20"/>
              </w:rPr>
              <w:t>%</w:t>
            </w:r>
          </w:p>
        </w:tc>
      </w:tr>
      <w:tr w:rsidR="00D72414">
        <w:trPr>
          <w:trHeight w:val="1190"/>
        </w:trPr>
        <w:tc>
          <w:tcPr>
            <w:tcW w:w="1922" w:type="dxa"/>
          </w:tcPr>
          <w:p w:rsidR="00D72414" w:rsidRDefault="00C0362E">
            <w:pPr>
              <w:rPr>
                <w:rFonts w:ascii="Arial" w:eastAsia="Arial" w:hAnsi="Arial" w:cs="Arial"/>
                <w:b/>
                <w:sz w:val="20"/>
                <w:szCs w:val="20"/>
              </w:rPr>
            </w:pPr>
            <w:r>
              <w:rPr>
                <w:rFonts w:ascii="Arial" w:eastAsia="Arial" w:hAnsi="Arial" w:cs="Arial"/>
                <w:b/>
                <w:sz w:val="20"/>
                <w:szCs w:val="20"/>
              </w:rPr>
              <w:t>Guidance</w:t>
            </w:r>
          </w:p>
        </w:tc>
        <w:tc>
          <w:tcPr>
            <w:tcW w:w="1922" w:type="dxa"/>
          </w:tcPr>
          <w:p w:rsidR="00D72414" w:rsidRDefault="00D72414">
            <w:pPr>
              <w:rPr>
                <w:rFonts w:ascii="Arial" w:eastAsia="Arial" w:hAnsi="Arial" w:cs="Arial"/>
                <w:sz w:val="20"/>
                <w:szCs w:val="20"/>
              </w:rPr>
            </w:pPr>
          </w:p>
        </w:tc>
        <w:tc>
          <w:tcPr>
            <w:tcW w:w="1923"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1923"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1923"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c>
          <w:tcPr>
            <w:tcW w:w="1923" w:type="dxa"/>
          </w:tcPr>
          <w:p w:rsidR="00D72414" w:rsidRDefault="00C0362E">
            <w:pPr>
              <w:rPr>
                <w:rFonts w:ascii="Arial" w:eastAsia="Arial" w:hAnsi="Arial" w:cs="Arial"/>
                <w:b/>
                <w:sz w:val="20"/>
                <w:szCs w:val="20"/>
              </w:rPr>
            </w:pPr>
            <w:r>
              <w:rPr>
                <w:rFonts w:ascii="Arial" w:eastAsia="Arial" w:hAnsi="Arial" w:cs="Arial"/>
                <w:b/>
                <w:sz w:val="20"/>
                <w:szCs w:val="20"/>
              </w:rPr>
              <w:t>Cannot be greater than any lower Revenue Band</w:t>
            </w:r>
          </w:p>
        </w:tc>
      </w:tr>
      <w:tr w:rsidR="00D72414">
        <w:trPr>
          <w:trHeight w:val="238"/>
        </w:trPr>
        <w:tc>
          <w:tcPr>
            <w:tcW w:w="1922" w:type="dxa"/>
            <w:shd w:val="clear" w:color="auto" w:fill="000000"/>
          </w:tcPr>
          <w:p w:rsidR="00D72414" w:rsidRDefault="00D72414">
            <w:pPr>
              <w:rPr>
                <w:rFonts w:ascii="Arial" w:eastAsia="Arial" w:hAnsi="Arial" w:cs="Arial"/>
                <w:b/>
                <w:sz w:val="20"/>
                <w:szCs w:val="20"/>
              </w:rPr>
            </w:pPr>
          </w:p>
        </w:tc>
        <w:tc>
          <w:tcPr>
            <w:tcW w:w="1922" w:type="dxa"/>
            <w:shd w:val="clear" w:color="auto" w:fill="000000"/>
          </w:tcPr>
          <w:p w:rsidR="00D72414" w:rsidRDefault="00D72414">
            <w:pPr>
              <w:rPr>
                <w:rFonts w:ascii="Arial" w:eastAsia="Arial" w:hAnsi="Arial" w:cs="Arial"/>
                <w:b/>
                <w:sz w:val="20"/>
                <w:szCs w:val="20"/>
              </w:rPr>
            </w:pPr>
          </w:p>
        </w:tc>
        <w:tc>
          <w:tcPr>
            <w:tcW w:w="1923" w:type="dxa"/>
            <w:shd w:val="clear" w:color="auto" w:fill="000000"/>
          </w:tcPr>
          <w:p w:rsidR="00D72414" w:rsidRDefault="00D72414">
            <w:pPr>
              <w:rPr>
                <w:rFonts w:ascii="Arial" w:eastAsia="Arial" w:hAnsi="Arial" w:cs="Arial"/>
                <w:b/>
                <w:sz w:val="20"/>
                <w:szCs w:val="20"/>
              </w:rPr>
            </w:pPr>
          </w:p>
        </w:tc>
        <w:tc>
          <w:tcPr>
            <w:tcW w:w="1923" w:type="dxa"/>
            <w:shd w:val="clear" w:color="auto" w:fill="000000"/>
          </w:tcPr>
          <w:p w:rsidR="00D72414" w:rsidRDefault="00D72414">
            <w:pPr>
              <w:rPr>
                <w:rFonts w:ascii="Arial" w:eastAsia="Arial" w:hAnsi="Arial" w:cs="Arial"/>
                <w:b/>
                <w:sz w:val="20"/>
                <w:szCs w:val="20"/>
              </w:rPr>
            </w:pPr>
          </w:p>
        </w:tc>
        <w:tc>
          <w:tcPr>
            <w:tcW w:w="1923" w:type="dxa"/>
            <w:shd w:val="clear" w:color="auto" w:fill="000000"/>
          </w:tcPr>
          <w:p w:rsidR="00D72414" w:rsidRDefault="00D72414">
            <w:pPr>
              <w:rPr>
                <w:rFonts w:ascii="Arial" w:eastAsia="Arial" w:hAnsi="Arial" w:cs="Arial"/>
                <w:b/>
                <w:sz w:val="20"/>
                <w:szCs w:val="20"/>
              </w:rPr>
            </w:pPr>
          </w:p>
        </w:tc>
        <w:tc>
          <w:tcPr>
            <w:tcW w:w="1923" w:type="dxa"/>
            <w:shd w:val="clear" w:color="auto" w:fill="000000"/>
          </w:tcPr>
          <w:p w:rsidR="00D72414" w:rsidRDefault="00D72414">
            <w:pPr>
              <w:rPr>
                <w:rFonts w:ascii="Arial" w:eastAsia="Arial" w:hAnsi="Arial" w:cs="Arial"/>
                <w:b/>
                <w:sz w:val="20"/>
                <w:szCs w:val="20"/>
              </w:rPr>
            </w:pPr>
          </w:p>
        </w:tc>
      </w:tr>
      <w:tr w:rsidR="00D72414">
        <w:trPr>
          <w:trHeight w:val="476"/>
        </w:trPr>
        <w:tc>
          <w:tcPr>
            <w:tcW w:w="1922" w:type="dxa"/>
            <w:shd w:val="clear" w:color="auto" w:fill="000000"/>
          </w:tcPr>
          <w:p w:rsidR="00D72414" w:rsidRDefault="00D72414">
            <w:pPr>
              <w:rPr>
                <w:rFonts w:ascii="Arial" w:eastAsia="Arial" w:hAnsi="Arial" w:cs="Arial"/>
                <w:b/>
                <w:sz w:val="20"/>
                <w:szCs w:val="20"/>
              </w:rPr>
            </w:pPr>
          </w:p>
          <w:p w:rsidR="00D72414" w:rsidRDefault="00D72414">
            <w:pPr>
              <w:rPr>
                <w:rFonts w:ascii="Arial" w:eastAsia="Arial" w:hAnsi="Arial" w:cs="Arial"/>
                <w:b/>
                <w:sz w:val="20"/>
                <w:szCs w:val="20"/>
              </w:rPr>
            </w:pPr>
          </w:p>
        </w:tc>
        <w:tc>
          <w:tcPr>
            <w:tcW w:w="1922" w:type="dxa"/>
            <w:shd w:val="clear" w:color="auto" w:fill="000000"/>
          </w:tcPr>
          <w:p w:rsidR="00D72414" w:rsidRDefault="00D72414">
            <w:pPr>
              <w:rPr>
                <w:rFonts w:ascii="Arial" w:eastAsia="Arial" w:hAnsi="Arial" w:cs="Arial"/>
                <w:b/>
                <w:sz w:val="20"/>
                <w:szCs w:val="20"/>
              </w:rPr>
            </w:pPr>
          </w:p>
        </w:tc>
        <w:tc>
          <w:tcPr>
            <w:tcW w:w="1923" w:type="dxa"/>
            <w:shd w:val="clear" w:color="auto" w:fill="000000"/>
          </w:tcPr>
          <w:p w:rsidR="00D72414" w:rsidRDefault="00D72414">
            <w:pPr>
              <w:rPr>
                <w:rFonts w:ascii="Arial" w:eastAsia="Arial" w:hAnsi="Arial" w:cs="Arial"/>
                <w:b/>
                <w:sz w:val="20"/>
                <w:szCs w:val="20"/>
              </w:rPr>
            </w:pPr>
          </w:p>
        </w:tc>
        <w:tc>
          <w:tcPr>
            <w:tcW w:w="1923" w:type="dxa"/>
            <w:shd w:val="clear" w:color="auto" w:fill="000000"/>
          </w:tcPr>
          <w:p w:rsidR="00D72414" w:rsidRDefault="00D72414">
            <w:pPr>
              <w:rPr>
                <w:rFonts w:ascii="Arial" w:eastAsia="Arial" w:hAnsi="Arial" w:cs="Arial"/>
                <w:b/>
                <w:sz w:val="20"/>
                <w:szCs w:val="20"/>
              </w:rPr>
            </w:pPr>
          </w:p>
        </w:tc>
        <w:tc>
          <w:tcPr>
            <w:tcW w:w="1923" w:type="dxa"/>
            <w:shd w:val="clear" w:color="auto" w:fill="000000"/>
          </w:tcPr>
          <w:p w:rsidR="00D72414" w:rsidRDefault="00D72414">
            <w:pPr>
              <w:rPr>
                <w:rFonts w:ascii="Arial" w:eastAsia="Arial" w:hAnsi="Arial" w:cs="Arial"/>
                <w:b/>
                <w:sz w:val="20"/>
                <w:szCs w:val="20"/>
              </w:rPr>
            </w:pPr>
          </w:p>
        </w:tc>
        <w:tc>
          <w:tcPr>
            <w:tcW w:w="1923" w:type="dxa"/>
            <w:shd w:val="clear" w:color="auto" w:fill="000000"/>
          </w:tcPr>
          <w:p w:rsidR="00D72414" w:rsidRDefault="00D72414">
            <w:pPr>
              <w:rPr>
                <w:rFonts w:ascii="Arial" w:eastAsia="Arial" w:hAnsi="Arial" w:cs="Arial"/>
                <w:b/>
                <w:sz w:val="20"/>
                <w:szCs w:val="20"/>
              </w:rPr>
            </w:pPr>
          </w:p>
        </w:tc>
      </w:tr>
      <w:tr w:rsidR="00D72414">
        <w:trPr>
          <w:gridAfter w:val="4"/>
          <w:wAfter w:w="7692" w:type="dxa"/>
          <w:trHeight w:val="238"/>
        </w:trPr>
        <w:tc>
          <w:tcPr>
            <w:tcW w:w="1922"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Debt Type</w:t>
            </w:r>
          </w:p>
        </w:tc>
        <w:tc>
          <w:tcPr>
            <w:tcW w:w="1922" w:type="dxa"/>
            <w:shd w:val="clear" w:color="auto" w:fill="FFFFFF"/>
          </w:tcPr>
          <w:p w:rsidR="00D72414" w:rsidRDefault="00C0362E">
            <w:pPr>
              <w:rPr>
                <w:rFonts w:ascii="Arial" w:eastAsia="Arial" w:hAnsi="Arial" w:cs="Arial"/>
                <w:b/>
                <w:sz w:val="20"/>
                <w:szCs w:val="20"/>
              </w:rPr>
            </w:pPr>
            <w:r>
              <w:rPr>
                <w:rFonts w:ascii="Arial" w:eastAsia="Arial" w:hAnsi="Arial" w:cs="Arial"/>
                <w:b/>
                <w:sz w:val="20"/>
                <w:szCs w:val="20"/>
              </w:rPr>
              <w:t>Home Office Debt (aggregate rate for all debt types)</w:t>
            </w:r>
          </w:p>
        </w:tc>
      </w:tr>
      <w:tr w:rsidR="00D72414">
        <w:trPr>
          <w:gridAfter w:val="4"/>
          <w:wAfter w:w="7692" w:type="dxa"/>
          <w:trHeight w:val="714"/>
        </w:trPr>
        <w:tc>
          <w:tcPr>
            <w:tcW w:w="1922" w:type="dxa"/>
          </w:tcPr>
          <w:p w:rsidR="00D72414" w:rsidRDefault="00C0362E">
            <w:pPr>
              <w:rPr>
                <w:rFonts w:ascii="Arial" w:eastAsia="Arial" w:hAnsi="Arial" w:cs="Arial"/>
                <w:b/>
                <w:sz w:val="20"/>
                <w:szCs w:val="20"/>
              </w:rPr>
            </w:pPr>
            <w:r>
              <w:rPr>
                <w:rFonts w:ascii="Arial" w:eastAsia="Arial" w:hAnsi="Arial" w:cs="Arial"/>
                <w:b/>
                <w:sz w:val="20"/>
                <w:szCs w:val="20"/>
              </w:rPr>
              <w:lastRenderedPageBreak/>
              <w:t>DCA Commission Cap %</w:t>
            </w:r>
          </w:p>
        </w:tc>
        <w:tc>
          <w:tcPr>
            <w:tcW w:w="1922" w:type="dxa"/>
          </w:tcPr>
          <w:p w:rsidR="00D72414" w:rsidRDefault="00C0362E">
            <w:pPr>
              <w:rPr>
                <w:rFonts w:ascii="Arial" w:eastAsia="Arial" w:hAnsi="Arial" w:cs="Arial"/>
                <w:b/>
                <w:sz w:val="20"/>
                <w:szCs w:val="20"/>
              </w:rPr>
            </w:pPr>
            <w:r>
              <w:rPr>
                <w:rFonts w:ascii="Arial" w:eastAsia="Arial" w:hAnsi="Arial" w:cs="Arial"/>
                <w:b/>
                <w:sz w:val="20"/>
                <w:szCs w:val="20"/>
              </w:rPr>
              <w:t>%</w:t>
            </w:r>
          </w:p>
        </w:tc>
      </w:tr>
    </w:tbl>
    <w:p w:rsidR="00D72414" w:rsidRDefault="00D72414">
      <w:pPr>
        <w:pBdr>
          <w:top w:val="nil"/>
          <w:left w:val="nil"/>
          <w:bottom w:val="nil"/>
          <w:right w:val="nil"/>
          <w:between w:val="nil"/>
        </w:pBdr>
        <w:spacing w:before="240"/>
        <w:jc w:val="both"/>
        <w:rPr>
          <w:rFonts w:ascii="Arial" w:eastAsia="Arial" w:hAnsi="Arial" w:cs="Arial"/>
          <w:b/>
          <w:sz w:val="22"/>
          <w:szCs w:val="22"/>
        </w:rPr>
      </w:pPr>
    </w:p>
    <w:p w:rsidR="00D72414" w:rsidRDefault="00D72414">
      <w:pPr>
        <w:pBdr>
          <w:top w:val="nil"/>
          <w:left w:val="nil"/>
          <w:bottom w:val="nil"/>
          <w:right w:val="nil"/>
          <w:between w:val="nil"/>
        </w:pBdr>
        <w:spacing w:before="240"/>
        <w:jc w:val="both"/>
        <w:rPr>
          <w:rFonts w:ascii="Arial" w:eastAsia="Arial" w:hAnsi="Arial" w:cs="Arial"/>
          <w:b/>
          <w:sz w:val="22"/>
          <w:szCs w:val="22"/>
        </w:rPr>
      </w:pPr>
    </w:p>
    <w:p w:rsidR="00D72414" w:rsidRDefault="00D72414">
      <w:pPr>
        <w:pBdr>
          <w:top w:val="nil"/>
          <w:left w:val="nil"/>
          <w:bottom w:val="nil"/>
          <w:right w:val="nil"/>
          <w:between w:val="nil"/>
        </w:pBdr>
        <w:spacing w:before="240"/>
        <w:jc w:val="both"/>
        <w:rPr>
          <w:rFonts w:ascii="Arial" w:eastAsia="Arial" w:hAnsi="Arial" w:cs="Arial"/>
          <w:b/>
          <w:sz w:val="22"/>
          <w:szCs w:val="22"/>
        </w:rPr>
      </w:pPr>
    </w:p>
    <w:p w:rsidR="00D72414" w:rsidRDefault="00D72414">
      <w:pPr>
        <w:pBdr>
          <w:top w:val="nil"/>
          <w:left w:val="nil"/>
          <w:bottom w:val="nil"/>
          <w:right w:val="nil"/>
          <w:between w:val="nil"/>
        </w:pBdr>
        <w:spacing w:before="240"/>
        <w:jc w:val="both"/>
        <w:rPr>
          <w:rFonts w:ascii="Arial" w:eastAsia="Arial" w:hAnsi="Arial" w:cs="Arial"/>
          <w:b/>
          <w:sz w:val="22"/>
          <w:szCs w:val="22"/>
        </w:rPr>
      </w:pPr>
    </w:p>
    <w:p w:rsidR="00D72414" w:rsidRDefault="00D72414">
      <w:pPr>
        <w:pBdr>
          <w:top w:val="nil"/>
          <w:left w:val="nil"/>
          <w:bottom w:val="nil"/>
          <w:right w:val="nil"/>
          <w:between w:val="nil"/>
        </w:pBdr>
        <w:spacing w:before="240"/>
        <w:jc w:val="both"/>
        <w:rPr>
          <w:rFonts w:ascii="Arial" w:eastAsia="Arial" w:hAnsi="Arial" w:cs="Arial"/>
          <w:b/>
          <w:sz w:val="22"/>
          <w:szCs w:val="22"/>
        </w:rPr>
      </w:pPr>
    </w:p>
    <w:p w:rsidR="00D72414" w:rsidRDefault="00D72414">
      <w:pPr>
        <w:pBdr>
          <w:top w:val="nil"/>
          <w:left w:val="nil"/>
          <w:bottom w:val="nil"/>
          <w:right w:val="nil"/>
          <w:between w:val="nil"/>
        </w:pBdr>
        <w:spacing w:before="240"/>
        <w:jc w:val="both"/>
        <w:rPr>
          <w:rFonts w:ascii="Arial" w:eastAsia="Arial" w:hAnsi="Arial" w:cs="Arial"/>
          <w:b/>
          <w:sz w:val="22"/>
          <w:szCs w:val="22"/>
        </w:rPr>
      </w:pPr>
    </w:p>
    <w:p w:rsidR="00D72414" w:rsidRDefault="00C0362E">
      <w:pPr>
        <w:pBdr>
          <w:top w:val="nil"/>
          <w:left w:val="nil"/>
          <w:bottom w:val="nil"/>
          <w:right w:val="nil"/>
          <w:between w:val="nil"/>
        </w:pBdr>
        <w:spacing w:before="240"/>
        <w:jc w:val="both"/>
        <w:rPr>
          <w:rFonts w:ascii="Arial" w:eastAsia="Arial" w:hAnsi="Arial" w:cs="Arial"/>
          <w:b/>
          <w:sz w:val="22"/>
          <w:szCs w:val="22"/>
        </w:rPr>
      </w:pPr>
      <w:r>
        <w:rPr>
          <w:rFonts w:ascii="Arial" w:eastAsia="Arial" w:hAnsi="Arial" w:cs="Arial"/>
          <w:b/>
          <w:sz w:val="22"/>
          <w:szCs w:val="22"/>
        </w:rPr>
        <w:t>Section 2</w:t>
      </w:r>
    </w:p>
    <w:p w:rsidR="00D72414" w:rsidRDefault="00C0362E">
      <w:pPr>
        <w:numPr>
          <w:ilvl w:val="0"/>
          <w:numId w:val="11"/>
        </w:num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b/>
          <w:color w:val="000000"/>
          <w:sz w:val="20"/>
          <w:szCs w:val="20"/>
        </w:rPr>
        <w:t xml:space="preserve">URN 1.0c Collections Packaged Rate Card Services </w:t>
      </w:r>
    </w:p>
    <w:p w:rsidR="00D72414" w:rsidRDefault="00D72414">
      <w:pPr>
        <w:pBdr>
          <w:top w:val="nil"/>
          <w:left w:val="nil"/>
          <w:bottom w:val="nil"/>
          <w:right w:val="nil"/>
          <w:between w:val="nil"/>
        </w:pBdr>
        <w:ind w:left="360"/>
        <w:jc w:val="both"/>
        <w:rPr>
          <w:rFonts w:ascii="Arial" w:eastAsia="Arial" w:hAnsi="Arial" w:cs="Arial"/>
          <w:b/>
          <w:color w:val="000000"/>
          <w:sz w:val="20"/>
          <w:szCs w:val="20"/>
        </w:rPr>
      </w:pPr>
    </w:p>
    <w:tbl>
      <w:tblPr>
        <w:tblStyle w:val="afffc"/>
        <w:tblW w:w="901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802"/>
        <w:gridCol w:w="1802"/>
        <w:gridCol w:w="1802"/>
        <w:gridCol w:w="1802"/>
        <w:gridCol w:w="1802"/>
      </w:tblGrid>
      <w:tr w:rsidR="00D72414">
        <w:tc>
          <w:tcPr>
            <w:tcW w:w="1802"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Seniority</w:t>
            </w:r>
          </w:p>
        </w:tc>
        <w:tc>
          <w:tcPr>
            <w:tcW w:w="1802"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Senior Management</w:t>
            </w:r>
          </w:p>
          <w:p w:rsidR="00D72414" w:rsidRDefault="00C0362E">
            <w:pPr>
              <w:spacing w:before="240"/>
              <w:jc w:val="both"/>
              <w:rPr>
                <w:rFonts w:ascii="Arial" w:eastAsia="Arial" w:hAnsi="Arial" w:cs="Arial"/>
                <w:b/>
                <w:sz w:val="20"/>
                <w:szCs w:val="20"/>
              </w:rPr>
            </w:pPr>
            <w:r>
              <w:rPr>
                <w:rFonts w:ascii="Arial" w:eastAsia="Arial" w:hAnsi="Arial" w:cs="Arial"/>
                <w:b/>
                <w:sz w:val="20"/>
                <w:szCs w:val="20"/>
              </w:rPr>
              <w:t>Responsible for the Buyer’s Service and senior contact for the Buyer</w:t>
            </w:r>
          </w:p>
        </w:tc>
        <w:tc>
          <w:tcPr>
            <w:tcW w:w="1802"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Manager</w:t>
            </w:r>
          </w:p>
          <w:p w:rsidR="00D72414" w:rsidRDefault="00C0362E">
            <w:pPr>
              <w:spacing w:before="240"/>
              <w:jc w:val="both"/>
              <w:rPr>
                <w:rFonts w:ascii="Arial" w:eastAsia="Arial" w:hAnsi="Arial" w:cs="Arial"/>
                <w:b/>
                <w:sz w:val="20"/>
                <w:szCs w:val="20"/>
              </w:rPr>
            </w:pPr>
            <w:r>
              <w:rPr>
                <w:rFonts w:ascii="Arial" w:eastAsia="Arial" w:hAnsi="Arial" w:cs="Arial"/>
                <w:b/>
                <w:sz w:val="20"/>
                <w:szCs w:val="20"/>
              </w:rPr>
              <w:t>Responsible for the contact centre operations and any administrative support functions</w:t>
            </w:r>
          </w:p>
        </w:tc>
        <w:tc>
          <w:tcPr>
            <w:tcW w:w="1802"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Team Leader</w:t>
            </w:r>
          </w:p>
          <w:p w:rsidR="00D72414" w:rsidRDefault="00C0362E">
            <w:pPr>
              <w:spacing w:before="240"/>
              <w:jc w:val="both"/>
              <w:rPr>
                <w:rFonts w:ascii="Arial" w:eastAsia="Arial" w:hAnsi="Arial" w:cs="Arial"/>
                <w:b/>
                <w:sz w:val="20"/>
                <w:szCs w:val="20"/>
              </w:rPr>
            </w:pPr>
            <w:r>
              <w:rPr>
                <w:rFonts w:ascii="Arial" w:eastAsia="Arial" w:hAnsi="Arial" w:cs="Arial"/>
                <w:b/>
                <w:sz w:val="20"/>
                <w:szCs w:val="20"/>
              </w:rPr>
              <w:t>Responsible for supervision of a team(s) of contact centre agents or equivalent administrator</w:t>
            </w:r>
          </w:p>
        </w:tc>
        <w:tc>
          <w:tcPr>
            <w:tcW w:w="1802"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Agent</w:t>
            </w:r>
          </w:p>
          <w:p w:rsidR="00D72414" w:rsidRDefault="00C0362E">
            <w:pPr>
              <w:spacing w:before="240"/>
              <w:jc w:val="both"/>
              <w:rPr>
                <w:rFonts w:ascii="Arial" w:eastAsia="Arial" w:hAnsi="Arial" w:cs="Arial"/>
                <w:b/>
                <w:sz w:val="20"/>
                <w:szCs w:val="20"/>
              </w:rPr>
            </w:pPr>
            <w:r>
              <w:rPr>
                <w:rFonts w:ascii="Arial" w:eastAsia="Arial" w:hAnsi="Arial" w:cs="Arial"/>
                <w:b/>
                <w:sz w:val="20"/>
                <w:szCs w:val="20"/>
              </w:rPr>
              <w:t>Contact centre agent or equivalent administrator</w:t>
            </w:r>
          </w:p>
        </w:tc>
      </w:tr>
      <w:tr w:rsidR="00D72414">
        <w:tc>
          <w:tcPr>
            <w:tcW w:w="1802"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Charge per ½ hour £</w:t>
            </w:r>
          </w:p>
        </w:tc>
        <w:tc>
          <w:tcPr>
            <w:tcW w:w="1802"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w:t>
            </w:r>
          </w:p>
        </w:tc>
        <w:tc>
          <w:tcPr>
            <w:tcW w:w="1802"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w:t>
            </w:r>
          </w:p>
        </w:tc>
        <w:tc>
          <w:tcPr>
            <w:tcW w:w="1802"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w:t>
            </w:r>
          </w:p>
        </w:tc>
        <w:tc>
          <w:tcPr>
            <w:tcW w:w="1802"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w:t>
            </w:r>
          </w:p>
        </w:tc>
      </w:tr>
    </w:tbl>
    <w:p w:rsidR="00D72414" w:rsidRDefault="00D72414">
      <w:pPr>
        <w:pBdr>
          <w:top w:val="nil"/>
          <w:left w:val="nil"/>
          <w:bottom w:val="nil"/>
          <w:right w:val="nil"/>
          <w:between w:val="nil"/>
        </w:pBdr>
        <w:spacing w:before="240"/>
        <w:jc w:val="both"/>
        <w:rPr>
          <w:rFonts w:ascii="Arial" w:eastAsia="Arial" w:hAnsi="Arial" w:cs="Arial"/>
          <w:b/>
          <w:sz w:val="22"/>
          <w:szCs w:val="22"/>
        </w:rPr>
      </w:pPr>
    </w:p>
    <w:p w:rsidR="00D72414" w:rsidRDefault="00C0362E">
      <w:pPr>
        <w:pBdr>
          <w:top w:val="nil"/>
          <w:left w:val="nil"/>
          <w:bottom w:val="nil"/>
          <w:right w:val="nil"/>
          <w:between w:val="nil"/>
        </w:pBdr>
        <w:spacing w:before="240"/>
        <w:jc w:val="both"/>
        <w:rPr>
          <w:rFonts w:ascii="Arial" w:eastAsia="Arial" w:hAnsi="Arial" w:cs="Arial"/>
          <w:b/>
          <w:sz w:val="22"/>
          <w:szCs w:val="22"/>
        </w:rPr>
      </w:pPr>
      <w:r>
        <w:rPr>
          <w:rFonts w:ascii="Arial" w:eastAsia="Arial" w:hAnsi="Arial" w:cs="Arial"/>
          <w:b/>
          <w:sz w:val="22"/>
          <w:szCs w:val="22"/>
        </w:rPr>
        <w:lastRenderedPageBreak/>
        <w:t>Section 3</w:t>
      </w:r>
    </w:p>
    <w:p w:rsidR="00D72414" w:rsidRDefault="00C0362E">
      <w:pPr>
        <w:numPr>
          <w:ilvl w:val="0"/>
          <w:numId w:val="11"/>
        </w:num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b/>
          <w:color w:val="000000"/>
          <w:sz w:val="20"/>
          <w:szCs w:val="20"/>
        </w:rPr>
        <w:t>URN 1.0d Collections Fixed Price Debt Service</w:t>
      </w:r>
    </w:p>
    <w:p w:rsidR="00D72414" w:rsidRDefault="00D72414">
      <w:pPr>
        <w:pBdr>
          <w:top w:val="nil"/>
          <w:left w:val="nil"/>
          <w:bottom w:val="nil"/>
          <w:right w:val="nil"/>
          <w:between w:val="nil"/>
        </w:pBdr>
        <w:ind w:left="360"/>
        <w:jc w:val="both"/>
        <w:rPr>
          <w:rFonts w:ascii="Arial" w:eastAsia="Arial" w:hAnsi="Arial" w:cs="Arial"/>
          <w:b/>
          <w:color w:val="000000"/>
          <w:sz w:val="20"/>
          <w:szCs w:val="20"/>
        </w:rPr>
      </w:pPr>
    </w:p>
    <w:tbl>
      <w:tblPr>
        <w:tblStyle w:val="afffd"/>
        <w:tblW w:w="9015" w:type="dxa"/>
        <w:tblInd w:w="-5"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4933"/>
        <w:gridCol w:w="4082"/>
      </w:tblGrid>
      <w:tr w:rsidR="00D72414">
        <w:tc>
          <w:tcPr>
            <w:tcW w:w="4933"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 xml:space="preserve">Package </w:t>
            </w:r>
          </w:p>
        </w:tc>
        <w:tc>
          <w:tcPr>
            <w:tcW w:w="4082"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Charge Per Case Placed Case (£)</w:t>
            </w:r>
          </w:p>
        </w:tc>
      </w:tr>
      <w:tr w:rsidR="00D72414">
        <w:tc>
          <w:tcPr>
            <w:tcW w:w="4933"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URN 1.0di Basic</w:t>
            </w:r>
          </w:p>
          <w:p w:rsidR="00D72414" w:rsidRDefault="00D72414">
            <w:pPr>
              <w:spacing w:before="240"/>
              <w:jc w:val="both"/>
              <w:rPr>
                <w:rFonts w:ascii="Arial" w:eastAsia="Arial" w:hAnsi="Arial" w:cs="Arial"/>
                <w:b/>
                <w:sz w:val="20"/>
                <w:szCs w:val="20"/>
              </w:rPr>
            </w:pPr>
          </w:p>
        </w:tc>
        <w:tc>
          <w:tcPr>
            <w:tcW w:w="4082" w:type="dxa"/>
          </w:tcPr>
          <w:p w:rsidR="00D72414" w:rsidRDefault="00D72414">
            <w:pPr>
              <w:spacing w:before="240"/>
              <w:jc w:val="both"/>
              <w:rPr>
                <w:rFonts w:ascii="Arial" w:eastAsia="Arial" w:hAnsi="Arial" w:cs="Arial"/>
                <w:b/>
                <w:sz w:val="20"/>
                <w:szCs w:val="20"/>
              </w:rPr>
            </w:pPr>
          </w:p>
        </w:tc>
      </w:tr>
      <w:tr w:rsidR="00D72414">
        <w:tc>
          <w:tcPr>
            <w:tcW w:w="4933"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URN 1.0d ii Standard</w:t>
            </w:r>
          </w:p>
        </w:tc>
        <w:tc>
          <w:tcPr>
            <w:tcW w:w="4082" w:type="dxa"/>
          </w:tcPr>
          <w:p w:rsidR="00D72414" w:rsidRDefault="00D72414">
            <w:pPr>
              <w:spacing w:before="240"/>
              <w:jc w:val="both"/>
              <w:rPr>
                <w:rFonts w:ascii="Arial" w:eastAsia="Arial" w:hAnsi="Arial" w:cs="Arial"/>
                <w:b/>
                <w:sz w:val="20"/>
                <w:szCs w:val="20"/>
              </w:rPr>
            </w:pPr>
          </w:p>
        </w:tc>
      </w:tr>
      <w:tr w:rsidR="00D72414">
        <w:tc>
          <w:tcPr>
            <w:tcW w:w="4933"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URN 1.0d iii Enhanced</w:t>
            </w:r>
          </w:p>
        </w:tc>
        <w:tc>
          <w:tcPr>
            <w:tcW w:w="4082" w:type="dxa"/>
          </w:tcPr>
          <w:p w:rsidR="00D72414" w:rsidRDefault="00D72414">
            <w:pPr>
              <w:spacing w:before="240"/>
              <w:jc w:val="both"/>
              <w:rPr>
                <w:rFonts w:ascii="Arial" w:eastAsia="Arial" w:hAnsi="Arial" w:cs="Arial"/>
                <w:b/>
                <w:sz w:val="20"/>
                <w:szCs w:val="20"/>
              </w:rPr>
            </w:pPr>
          </w:p>
        </w:tc>
      </w:tr>
      <w:tr w:rsidR="00D72414">
        <w:tc>
          <w:tcPr>
            <w:tcW w:w="4933"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URN 1.0d iv Aggregated</w:t>
            </w:r>
          </w:p>
        </w:tc>
        <w:tc>
          <w:tcPr>
            <w:tcW w:w="4082" w:type="dxa"/>
          </w:tcPr>
          <w:p w:rsidR="00D72414" w:rsidRDefault="00D72414">
            <w:pPr>
              <w:spacing w:before="240"/>
              <w:jc w:val="both"/>
              <w:rPr>
                <w:rFonts w:ascii="Arial" w:eastAsia="Arial" w:hAnsi="Arial" w:cs="Arial"/>
                <w:b/>
                <w:sz w:val="20"/>
                <w:szCs w:val="20"/>
              </w:rPr>
            </w:pPr>
          </w:p>
        </w:tc>
      </w:tr>
      <w:tr w:rsidR="00D72414">
        <w:tc>
          <w:tcPr>
            <w:tcW w:w="4933"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URN 1.0d v Residential Trace and Collect</w:t>
            </w:r>
          </w:p>
        </w:tc>
        <w:tc>
          <w:tcPr>
            <w:tcW w:w="4082" w:type="dxa"/>
          </w:tcPr>
          <w:p w:rsidR="00D72414" w:rsidRDefault="00D72414">
            <w:pPr>
              <w:spacing w:before="240"/>
              <w:jc w:val="both"/>
              <w:rPr>
                <w:rFonts w:ascii="Arial" w:eastAsia="Arial" w:hAnsi="Arial" w:cs="Arial"/>
                <w:b/>
                <w:sz w:val="20"/>
                <w:szCs w:val="20"/>
              </w:rPr>
            </w:pPr>
          </w:p>
        </w:tc>
      </w:tr>
      <w:tr w:rsidR="00D72414">
        <w:tc>
          <w:tcPr>
            <w:tcW w:w="4933"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URN 1.0d vi Commercial Trace and Collect</w:t>
            </w:r>
          </w:p>
        </w:tc>
        <w:tc>
          <w:tcPr>
            <w:tcW w:w="4082" w:type="dxa"/>
          </w:tcPr>
          <w:p w:rsidR="00D72414" w:rsidRDefault="00D72414">
            <w:pPr>
              <w:spacing w:before="240"/>
              <w:jc w:val="both"/>
              <w:rPr>
                <w:rFonts w:ascii="Arial" w:eastAsia="Arial" w:hAnsi="Arial" w:cs="Arial"/>
                <w:b/>
                <w:sz w:val="20"/>
                <w:szCs w:val="20"/>
              </w:rPr>
            </w:pPr>
          </w:p>
        </w:tc>
      </w:tr>
    </w:tbl>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C0362E">
      <w:pPr>
        <w:rPr>
          <w:rFonts w:ascii="Arial" w:eastAsia="Arial" w:hAnsi="Arial" w:cs="Arial"/>
          <w:b/>
          <w:sz w:val="22"/>
          <w:szCs w:val="22"/>
        </w:rPr>
      </w:pPr>
      <w:r>
        <w:rPr>
          <w:rFonts w:ascii="Arial" w:eastAsia="Arial" w:hAnsi="Arial" w:cs="Arial"/>
          <w:b/>
          <w:sz w:val="22"/>
          <w:szCs w:val="22"/>
        </w:rPr>
        <w:t>Section 4 NOT USED</w:t>
      </w:r>
    </w:p>
    <w:p w:rsidR="00D72414" w:rsidRDefault="00D72414">
      <w:pPr>
        <w:pBdr>
          <w:top w:val="nil"/>
          <w:left w:val="nil"/>
          <w:bottom w:val="nil"/>
          <w:right w:val="nil"/>
          <w:between w:val="nil"/>
        </w:pBdr>
        <w:spacing w:before="120"/>
        <w:jc w:val="both"/>
        <w:rPr>
          <w:rFonts w:ascii="Arial" w:eastAsia="Arial" w:hAnsi="Arial" w:cs="Arial"/>
          <w:b/>
          <w:sz w:val="22"/>
          <w:szCs w:val="22"/>
        </w:rPr>
      </w:pPr>
    </w:p>
    <w:p w:rsidR="00D72414" w:rsidRDefault="00C0362E">
      <w:pPr>
        <w:pBdr>
          <w:top w:val="nil"/>
          <w:left w:val="nil"/>
          <w:bottom w:val="nil"/>
          <w:right w:val="nil"/>
          <w:between w:val="nil"/>
        </w:pBdr>
        <w:spacing w:before="120"/>
        <w:jc w:val="both"/>
        <w:rPr>
          <w:rFonts w:ascii="Arial" w:eastAsia="Arial" w:hAnsi="Arial" w:cs="Arial"/>
          <w:b/>
          <w:sz w:val="22"/>
          <w:szCs w:val="22"/>
        </w:rPr>
      </w:pPr>
      <w:r>
        <w:rPr>
          <w:rFonts w:ascii="Arial" w:eastAsia="Arial" w:hAnsi="Arial" w:cs="Arial"/>
          <w:b/>
          <w:sz w:val="22"/>
          <w:szCs w:val="22"/>
        </w:rPr>
        <w:t>Section 5</w:t>
      </w:r>
    </w:p>
    <w:p w:rsidR="00D72414" w:rsidRDefault="00C0362E">
      <w:pPr>
        <w:numPr>
          <w:ilvl w:val="0"/>
          <w:numId w:val="11"/>
        </w:num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URN 1.0f Run-Down Portfolio Management</w:t>
      </w:r>
    </w:p>
    <w:p w:rsidR="00D72414" w:rsidRDefault="00D72414">
      <w:pPr>
        <w:rPr>
          <w:rFonts w:ascii="Arial" w:eastAsia="Arial" w:hAnsi="Arial" w:cs="Arial"/>
          <w:b/>
          <w:sz w:val="22"/>
          <w:szCs w:val="22"/>
        </w:rPr>
      </w:pPr>
    </w:p>
    <w:tbl>
      <w:tblPr>
        <w:tblStyle w:val="afffe"/>
        <w:tblW w:w="3002"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501"/>
        <w:gridCol w:w="1501"/>
      </w:tblGrid>
      <w:tr w:rsidR="00D72414">
        <w:tc>
          <w:tcPr>
            <w:tcW w:w="1501" w:type="dxa"/>
          </w:tcPr>
          <w:p w:rsidR="00D72414" w:rsidRDefault="00C0362E">
            <w:pPr>
              <w:rPr>
                <w:rFonts w:ascii="Arial" w:eastAsia="Arial" w:hAnsi="Arial" w:cs="Arial"/>
                <w:b/>
                <w:sz w:val="20"/>
                <w:szCs w:val="20"/>
              </w:rPr>
            </w:pPr>
            <w:r>
              <w:rPr>
                <w:rFonts w:ascii="Arial" w:eastAsia="Arial" w:hAnsi="Arial" w:cs="Arial"/>
                <w:b/>
                <w:sz w:val="20"/>
                <w:szCs w:val="20"/>
              </w:rPr>
              <w:t>Service Management Fee % (Shall be the same across all debt types)</w:t>
            </w:r>
          </w:p>
        </w:tc>
        <w:tc>
          <w:tcPr>
            <w:tcW w:w="1501" w:type="dxa"/>
          </w:tcPr>
          <w:p w:rsidR="00D72414" w:rsidRDefault="00C0362E">
            <w:pPr>
              <w:rPr>
                <w:rFonts w:ascii="Arial" w:eastAsia="Arial" w:hAnsi="Arial" w:cs="Arial"/>
                <w:b/>
                <w:sz w:val="20"/>
                <w:szCs w:val="20"/>
              </w:rPr>
            </w:pPr>
            <w:r>
              <w:rPr>
                <w:rFonts w:ascii="Arial" w:eastAsia="Arial" w:hAnsi="Arial" w:cs="Arial"/>
                <w:b/>
                <w:sz w:val="20"/>
                <w:szCs w:val="20"/>
              </w:rPr>
              <w:t>%</w:t>
            </w:r>
          </w:p>
        </w:tc>
      </w:tr>
    </w:tbl>
    <w:p w:rsidR="00D72414" w:rsidRDefault="00C0362E">
      <w:pPr>
        <w:pBdr>
          <w:top w:val="nil"/>
          <w:left w:val="nil"/>
          <w:bottom w:val="nil"/>
          <w:right w:val="nil"/>
          <w:between w:val="nil"/>
        </w:pBdr>
        <w:spacing w:before="120"/>
        <w:jc w:val="both"/>
        <w:rPr>
          <w:rFonts w:ascii="Arial" w:eastAsia="Arial" w:hAnsi="Arial" w:cs="Arial"/>
          <w:b/>
          <w:sz w:val="22"/>
          <w:szCs w:val="22"/>
        </w:rPr>
      </w:pPr>
      <w:r>
        <w:rPr>
          <w:rFonts w:ascii="Arial" w:eastAsia="Arial" w:hAnsi="Arial" w:cs="Arial"/>
          <w:b/>
          <w:sz w:val="22"/>
          <w:szCs w:val="22"/>
        </w:rPr>
        <w:t xml:space="preserve"> </w:t>
      </w:r>
    </w:p>
    <w:p w:rsidR="00D72414" w:rsidRDefault="00C0362E">
      <w:pPr>
        <w:pBdr>
          <w:top w:val="nil"/>
          <w:left w:val="nil"/>
          <w:bottom w:val="nil"/>
          <w:right w:val="nil"/>
          <w:between w:val="nil"/>
        </w:pBdr>
        <w:spacing w:before="120"/>
        <w:jc w:val="both"/>
        <w:rPr>
          <w:rFonts w:ascii="Arial" w:eastAsia="Arial" w:hAnsi="Arial" w:cs="Arial"/>
          <w:b/>
          <w:sz w:val="22"/>
          <w:szCs w:val="22"/>
        </w:rPr>
      </w:pPr>
      <w:r>
        <w:rPr>
          <w:rFonts w:ascii="Arial" w:eastAsia="Arial" w:hAnsi="Arial" w:cs="Arial"/>
          <w:b/>
          <w:sz w:val="22"/>
          <w:szCs w:val="22"/>
        </w:rPr>
        <w:t>Section 6</w:t>
      </w:r>
    </w:p>
    <w:p w:rsidR="00D72414" w:rsidRDefault="00C0362E">
      <w:pPr>
        <w:numPr>
          <w:ilvl w:val="0"/>
          <w:numId w:val="11"/>
        </w:numPr>
        <w:pBdr>
          <w:top w:val="nil"/>
          <w:left w:val="nil"/>
          <w:bottom w:val="nil"/>
          <w:right w:val="nil"/>
          <w:between w:val="nil"/>
        </w:pBdr>
        <w:spacing w:before="120"/>
        <w:rPr>
          <w:rFonts w:ascii="Arial" w:eastAsia="Arial" w:hAnsi="Arial" w:cs="Arial"/>
          <w:b/>
          <w:color w:val="000000"/>
          <w:sz w:val="22"/>
          <w:szCs w:val="22"/>
        </w:rPr>
      </w:pPr>
      <w:r>
        <w:rPr>
          <w:rFonts w:ascii="Arial" w:eastAsia="Arial" w:hAnsi="Arial" w:cs="Arial"/>
          <w:b/>
          <w:color w:val="000000"/>
          <w:sz w:val="22"/>
          <w:szCs w:val="22"/>
        </w:rPr>
        <w:lastRenderedPageBreak/>
        <w:t xml:space="preserve">URN 1.0g Imported Portfolio Management </w:t>
      </w:r>
    </w:p>
    <w:p w:rsidR="00D72414" w:rsidRDefault="00D72414">
      <w:pPr>
        <w:pBdr>
          <w:top w:val="nil"/>
          <w:left w:val="nil"/>
          <w:bottom w:val="nil"/>
          <w:right w:val="nil"/>
          <w:between w:val="nil"/>
        </w:pBdr>
        <w:ind w:left="360"/>
        <w:rPr>
          <w:rFonts w:ascii="Arial" w:eastAsia="Arial" w:hAnsi="Arial" w:cs="Arial"/>
          <w:b/>
          <w:color w:val="000000"/>
          <w:sz w:val="22"/>
          <w:szCs w:val="22"/>
        </w:rPr>
      </w:pPr>
    </w:p>
    <w:tbl>
      <w:tblPr>
        <w:tblStyle w:val="affff"/>
        <w:tblW w:w="3002"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501"/>
        <w:gridCol w:w="1501"/>
      </w:tblGrid>
      <w:tr w:rsidR="00D72414">
        <w:tc>
          <w:tcPr>
            <w:tcW w:w="1501" w:type="dxa"/>
          </w:tcPr>
          <w:p w:rsidR="00D72414" w:rsidRDefault="00C0362E">
            <w:pPr>
              <w:rPr>
                <w:rFonts w:ascii="Arial" w:eastAsia="Arial" w:hAnsi="Arial" w:cs="Arial"/>
                <w:b/>
                <w:sz w:val="20"/>
                <w:szCs w:val="20"/>
              </w:rPr>
            </w:pPr>
            <w:r>
              <w:rPr>
                <w:rFonts w:ascii="Arial" w:eastAsia="Arial" w:hAnsi="Arial" w:cs="Arial"/>
                <w:b/>
                <w:sz w:val="20"/>
                <w:szCs w:val="20"/>
              </w:rPr>
              <w:t xml:space="preserve">Service Management Fee </w:t>
            </w:r>
          </w:p>
        </w:tc>
        <w:tc>
          <w:tcPr>
            <w:tcW w:w="1501" w:type="dxa"/>
          </w:tcPr>
          <w:p w:rsidR="00D72414" w:rsidRDefault="00C0362E">
            <w:pPr>
              <w:rPr>
                <w:rFonts w:ascii="Arial" w:eastAsia="Arial" w:hAnsi="Arial" w:cs="Arial"/>
                <w:b/>
                <w:sz w:val="20"/>
                <w:szCs w:val="20"/>
              </w:rPr>
            </w:pPr>
            <w:r>
              <w:rPr>
                <w:rFonts w:ascii="Arial" w:eastAsia="Arial" w:hAnsi="Arial" w:cs="Arial"/>
                <w:b/>
                <w:sz w:val="20"/>
                <w:szCs w:val="20"/>
              </w:rPr>
              <w:t>%</w:t>
            </w:r>
          </w:p>
        </w:tc>
      </w:tr>
    </w:tbl>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u w:val="single"/>
        </w:rPr>
      </w:pPr>
    </w:p>
    <w:p w:rsidR="00D72414" w:rsidRDefault="00D72414">
      <w:pPr>
        <w:rPr>
          <w:rFonts w:ascii="Arial" w:eastAsia="Arial" w:hAnsi="Arial" w:cs="Arial"/>
          <w:b/>
          <w:sz w:val="22"/>
          <w:szCs w:val="22"/>
          <w:u w:val="single"/>
        </w:rPr>
      </w:pPr>
    </w:p>
    <w:p w:rsidR="00D72414" w:rsidRDefault="00C0362E">
      <w:pPr>
        <w:rPr>
          <w:rFonts w:ascii="Arial" w:eastAsia="Arial" w:hAnsi="Arial" w:cs="Arial"/>
          <w:b/>
          <w:sz w:val="22"/>
          <w:szCs w:val="22"/>
          <w:u w:val="single"/>
        </w:rPr>
      </w:pPr>
      <w:r>
        <w:rPr>
          <w:rFonts w:ascii="Arial" w:eastAsia="Arial" w:hAnsi="Arial" w:cs="Arial"/>
          <w:b/>
          <w:sz w:val="22"/>
          <w:szCs w:val="22"/>
          <w:u w:val="single"/>
        </w:rPr>
        <w:t xml:space="preserve">Part B Annex 2 </w:t>
      </w:r>
    </w:p>
    <w:p w:rsidR="00D72414" w:rsidRDefault="00D72414">
      <w:pPr>
        <w:rPr>
          <w:rFonts w:ascii="Arial" w:eastAsia="Arial" w:hAnsi="Arial" w:cs="Arial"/>
          <w:b/>
          <w:sz w:val="22"/>
          <w:szCs w:val="22"/>
          <w:u w:val="single"/>
        </w:rPr>
      </w:pPr>
    </w:p>
    <w:p w:rsidR="00D72414" w:rsidRDefault="00C0362E">
      <w:pPr>
        <w:rPr>
          <w:rFonts w:ascii="Arial" w:eastAsia="Arial" w:hAnsi="Arial" w:cs="Arial"/>
          <w:b/>
          <w:sz w:val="22"/>
          <w:szCs w:val="22"/>
          <w:u w:val="single"/>
        </w:rPr>
      </w:pPr>
      <w:r>
        <w:rPr>
          <w:rFonts w:ascii="Arial" w:eastAsia="Arial" w:hAnsi="Arial" w:cs="Arial"/>
          <w:b/>
          <w:sz w:val="22"/>
          <w:szCs w:val="22"/>
          <w:u w:val="single"/>
        </w:rPr>
        <w:t>OPTIONAL SERVICES</w:t>
      </w:r>
    </w:p>
    <w:p w:rsidR="00D72414" w:rsidRDefault="00D72414">
      <w:pPr>
        <w:pBdr>
          <w:top w:val="nil"/>
          <w:left w:val="nil"/>
          <w:bottom w:val="nil"/>
          <w:right w:val="nil"/>
          <w:between w:val="nil"/>
        </w:pBdr>
        <w:spacing w:before="120"/>
        <w:jc w:val="both"/>
        <w:rPr>
          <w:rFonts w:ascii="Arial" w:eastAsia="Arial" w:hAnsi="Arial" w:cs="Arial"/>
          <w:b/>
          <w:sz w:val="20"/>
          <w:szCs w:val="20"/>
        </w:rPr>
      </w:pPr>
    </w:p>
    <w:p w:rsidR="00D72414" w:rsidRDefault="00D72414">
      <w:pPr>
        <w:rPr>
          <w:rFonts w:ascii="Arial" w:eastAsia="Arial" w:hAnsi="Arial" w:cs="Arial"/>
          <w:b/>
          <w:sz w:val="22"/>
          <w:szCs w:val="22"/>
        </w:rPr>
      </w:pPr>
    </w:p>
    <w:p w:rsidR="00D72414" w:rsidRDefault="00C0362E">
      <w:pPr>
        <w:rPr>
          <w:rFonts w:ascii="Arial" w:eastAsia="Arial" w:hAnsi="Arial" w:cs="Arial"/>
          <w:b/>
          <w:sz w:val="22"/>
          <w:szCs w:val="22"/>
        </w:rPr>
      </w:pPr>
      <w:r>
        <w:rPr>
          <w:rFonts w:ascii="Arial" w:eastAsia="Arial" w:hAnsi="Arial" w:cs="Arial"/>
          <w:b/>
          <w:sz w:val="22"/>
          <w:szCs w:val="22"/>
        </w:rPr>
        <w:t>Section 7</w:t>
      </w:r>
    </w:p>
    <w:p w:rsidR="00D72414" w:rsidRDefault="00D72414">
      <w:pPr>
        <w:rPr>
          <w:rFonts w:ascii="Arial" w:eastAsia="Arial" w:hAnsi="Arial" w:cs="Arial"/>
          <w:b/>
          <w:sz w:val="22"/>
          <w:szCs w:val="22"/>
        </w:rPr>
      </w:pPr>
    </w:p>
    <w:p w:rsidR="00D72414" w:rsidRDefault="00C0362E">
      <w:pPr>
        <w:numPr>
          <w:ilvl w:val="0"/>
          <w:numId w:val="11"/>
        </w:num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URN 1.0h Integrated Service Management </w:t>
      </w:r>
    </w:p>
    <w:p w:rsidR="00D72414" w:rsidRDefault="00D72414">
      <w:pPr>
        <w:rPr>
          <w:rFonts w:ascii="Arial" w:eastAsia="Arial" w:hAnsi="Arial" w:cs="Arial"/>
          <w:b/>
          <w:sz w:val="22"/>
          <w:szCs w:val="22"/>
        </w:rPr>
      </w:pPr>
    </w:p>
    <w:p w:rsidR="00D72414" w:rsidRDefault="00C0362E">
      <w:pPr>
        <w:pBdr>
          <w:top w:val="nil"/>
          <w:left w:val="nil"/>
          <w:bottom w:val="nil"/>
          <w:right w:val="nil"/>
          <w:between w:val="nil"/>
        </w:pBdr>
        <w:ind w:left="360"/>
        <w:rPr>
          <w:rFonts w:ascii="Arial" w:eastAsia="Arial" w:hAnsi="Arial" w:cs="Arial"/>
          <w:b/>
          <w:color w:val="000000"/>
          <w:sz w:val="22"/>
          <w:szCs w:val="22"/>
        </w:rPr>
      </w:pPr>
      <w:r>
        <w:rPr>
          <w:rFonts w:ascii="Arial" w:eastAsia="Arial" w:hAnsi="Arial" w:cs="Arial"/>
          <w:b/>
          <w:color w:val="000000"/>
          <w:sz w:val="22"/>
          <w:szCs w:val="22"/>
        </w:rPr>
        <w:t xml:space="preserve"> </w:t>
      </w:r>
    </w:p>
    <w:tbl>
      <w:tblPr>
        <w:tblStyle w:val="affff0"/>
        <w:tblW w:w="3002"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501"/>
        <w:gridCol w:w="1501"/>
      </w:tblGrid>
      <w:tr w:rsidR="00D72414">
        <w:tc>
          <w:tcPr>
            <w:tcW w:w="1501" w:type="dxa"/>
          </w:tcPr>
          <w:p w:rsidR="00D72414" w:rsidRDefault="00C0362E">
            <w:pPr>
              <w:rPr>
                <w:rFonts w:ascii="Arial" w:eastAsia="Arial" w:hAnsi="Arial" w:cs="Arial"/>
                <w:b/>
                <w:sz w:val="20"/>
                <w:szCs w:val="20"/>
              </w:rPr>
            </w:pPr>
            <w:r>
              <w:rPr>
                <w:rFonts w:ascii="Arial" w:eastAsia="Arial" w:hAnsi="Arial" w:cs="Arial"/>
                <w:b/>
                <w:sz w:val="20"/>
                <w:szCs w:val="20"/>
              </w:rPr>
              <w:t xml:space="preserve">Service Management Fee </w:t>
            </w:r>
          </w:p>
        </w:tc>
        <w:tc>
          <w:tcPr>
            <w:tcW w:w="1501" w:type="dxa"/>
          </w:tcPr>
          <w:p w:rsidR="00D72414" w:rsidRDefault="00C0362E">
            <w:pPr>
              <w:rPr>
                <w:rFonts w:ascii="Arial" w:eastAsia="Arial" w:hAnsi="Arial" w:cs="Arial"/>
                <w:b/>
                <w:sz w:val="20"/>
                <w:szCs w:val="20"/>
              </w:rPr>
            </w:pPr>
            <w:r>
              <w:rPr>
                <w:rFonts w:ascii="Arial" w:eastAsia="Arial" w:hAnsi="Arial" w:cs="Arial"/>
                <w:b/>
                <w:sz w:val="20"/>
                <w:szCs w:val="20"/>
              </w:rPr>
              <w:t>%</w:t>
            </w:r>
          </w:p>
        </w:tc>
      </w:tr>
    </w:tbl>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C0362E">
      <w:pPr>
        <w:rPr>
          <w:rFonts w:ascii="Arial" w:eastAsia="Arial" w:hAnsi="Arial" w:cs="Arial"/>
          <w:b/>
          <w:sz w:val="22"/>
          <w:szCs w:val="22"/>
        </w:rPr>
      </w:pPr>
      <w:r>
        <w:rPr>
          <w:rFonts w:ascii="Arial" w:eastAsia="Arial" w:hAnsi="Arial" w:cs="Arial"/>
          <w:b/>
          <w:sz w:val="22"/>
          <w:szCs w:val="22"/>
        </w:rPr>
        <w:t>Section 8</w:t>
      </w:r>
    </w:p>
    <w:p w:rsidR="00D72414" w:rsidRDefault="00D72414">
      <w:pPr>
        <w:rPr>
          <w:rFonts w:ascii="Arial" w:eastAsia="Arial" w:hAnsi="Arial" w:cs="Arial"/>
          <w:b/>
          <w:sz w:val="22"/>
          <w:szCs w:val="22"/>
        </w:rPr>
      </w:pPr>
    </w:p>
    <w:p w:rsidR="00D72414" w:rsidRDefault="00C0362E">
      <w:pPr>
        <w:numPr>
          <w:ilvl w:val="0"/>
          <w:numId w:val="11"/>
        </w:num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URN 1.0 I International Collections </w:t>
      </w:r>
    </w:p>
    <w:p w:rsidR="00D72414" w:rsidRDefault="00C0362E">
      <w:pPr>
        <w:pBdr>
          <w:top w:val="nil"/>
          <w:left w:val="nil"/>
          <w:bottom w:val="nil"/>
          <w:right w:val="nil"/>
          <w:between w:val="nil"/>
        </w:pBdr>
        <w:ind w:left="360"/>
        <w:rPr>
          <w:rFonts w:ascii="Arial" w:eastAsia="Arial" w:hAnsi="Arial" w:cs="Arial"/>
          <w:b/>
          <w:color w:val="000000"/>
          <w:sz w:val="22"/>
          <w:szCs w:val="22"/>
        </w:rPr>
      </w:pPr>
      <w:r>
        <w:rPr>
          <w:rFonts w:ascii="Arial" w:eastAsia="Arial" w:hAnsi="Arial" w:cs="Arial"/>
          <w:b/>
          <w:color w:val="000000"/>
          <w:sz w:val="22"/>
          <w:szCs w:val="22"/>
        </w:rPr>
        <w:t xml:space="preserve"> </w:t>
      </w:r>
    </w:p>
    <w:p w:rsidR="00D72414" w:rsidRDefault="00C0362E">
      <w:pPr>
        <w:numPr>
          <w:ilvl w:val="1"/>
          <w:numId w:val="11"/>
        </w:num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The Supplier’s proposed Pricing to be included here</w:t>
      </w:r>
    </w:p>
    <w:p w:rsidR="00D72414" w:rsidRDefault="00D72414">
      <w:pPr>
        <w:rPr>
          <w:rFonts w:ascii="Arial" w:eastAsia="Arial" w:hAnsi="Arial" w:cs="Arial"/>
          <w:b/>
          <w:sz w:val="22"/>
          <w:szCs w:val="22"/>
        </w:rPr>
      </w:pPr>
    </w:p>
    <w:p w:rsidR="00D72414" w:rsidRDefault="00C0362E">
      <w:pPr>
        <w:rPr>
          <w:rFonts w:ascii="Arial" w:eastAsia="Arial" w:hAnsi="Arial" w:cs="Arial"/>
          <w:b/>
          <w:sz w:val="22"/>
          <w:szCs w:val="22"/>
        </w:rPr>
      </w:pPr>
      <w:r>
        <w:rPr>
          <w:rFonts w:ascii="Arial" w:eastAsia="Arial" w:hAnsi="Arial" w:cs="Arial"/>
          <w:b/>
          <w:sz w:val="22"/>
          <w:szCs w:val="22"/>
        </w:rPr>
        <w:t>PART C</w:t>
      </w:r>
    </w:p>
    <w:p w:rsidR="00D72414" w:rsidRDefault="00D72414">
      <w:pPr>
        <w:rPr>
          <w:rFonts w:ascii="Arial" w:eastAsia="Arial" w:hAnsi="Arial" w:cs="Arial"/>
          <w:b/>
          <w:sz w:val="22"/>
          <w:szCs w:val="22"/>
        </w:rPr>
      </w:pPr>
    </w:p>
    <w:p w:rsidR="00D72414" w:rsidRDefault="00C0362E">
      <w:pPr>
        <w:ind w:left="709" w:hanging="709"/>
        <w:rPr>
          <w:rFonts w:ascii="Arial" w:eastAsia="Arial" w:hAnsi="Arial" w:cs="Arial"/>
          <w:b/>
          <w:sz w:val="22"/>
          <w:szCs w:val="22"/>
        </w:rPr>
      </w:pPr>
      <w:r>
        <w:rPr>
          <w:rFonts w:ascii="Arial" w:eastAsia="Arial" w:hAnsi="Arial" w:cs="Arial"/>
          <w:b/>
          <w:sz w:val="22"/>
          <w:szCs w:val="22"/>
          <w:u w:val="single"/>
        </w:rPr>
        <w:t>Part C: Data Solutions</w:t>
      </w:r>
      <w:r>
        <w:rPr>
          <w:rFonts w:ascii="Arial" w:eastAsia="Arial" w:hAnsi="Arial" w:cs="Arial"/>
          <w:b/>
          <w:sz w:val="22"/>
          <w:szCs w:val="22"/>
        </w:rPr>
        <w:t xml:space="preserve"> </w:t>
      </w:r>
    </w:p>
    <w:p w:rsidR="00D72414" w:rsidRDefault="00D72414">
      <w:pPr>
        <w:rPr>
          <w:rFonts w:ascii="Arial" w:eastAsia="Arial" w:hAnsi="Arial" w:cs="Arial"/>
          <w:b/>
          <w:sz w:val="22"/>
          <w:szCs w:val="22"/>
        </w:rPr>
      </w:pPr>
    </w:p>
    <w:p w:rsidR="00D72414" w:rsidRDefault="00C0362E">
      <w:pPr>
        <w:numPr>
          <w:ilvl w:val="0"/>
          <w:numId w:val="14"/>
        </w:numPr>
        <w:pBdr>
          <w:top w:val="nil"/>
          <w:left w:val="nil"/>
          <w:bottom w:val="nil"/>
          <w:right w:val="nil"/>
          <w:between w:val="nil"/>
        </w:pBdr>
        <w:jc w:val="both"/>
      </w:pPr>
      <w:r>
        <w:rPr>
          <w:rFonts w:ascii="Arial" w:eastAsia="Arial" w:hAnsi="Arial" w:cs="Arial"/>
          <w:sz w:val="20"/>
          <w:szCs w:val="20"/>
        </w:rPr>
        <w:t>(</w:t>
      </w:r>
      <w:r>
        <w:rPr>
          <w:rFonts w:ascii="Arial" w:eastAsia="Arial" w:hAnsi="Arial" w:cs="Arial"/>
          <w:b/>
          <w:sz w:val="20"/>
          <w:szCs w:val="20"/>
        </w:rPr>
        <w:t>URN 2.0a) Data and Information</w:t>
      </w:r>
    </w:p>
    <w:p w:rsidR="00D72414" w:rsidRDefault="00C0362E">
      <w:pPr>
        <w:pBdr>
          <w:top w:val="nil"/>
          <w:left w:val="nil"/>
          <w:bottom w:val="nil"/>
          <w:right w:val="nil"/>
          <w:between w:val="nil"/>
        </w:pBdr>
        <w:ind w:left="794"/>
        <w:jc w:val="both"/>
      </w:pPr>
      <w:r>
        <w:rPr>
          <w:rFonts w:ascii="Arial" w:eastAsia="Arial" w:hAnsi="Arial" w:cs="Arial"/>
          <w:b/>
          <w:sz w:val="20"/>
          <w:szCs w:val="20"/>
        </w:rPr>
        <w:t xml:space="preserve"> </w:t>
      </w:r>
    </w:p>
    <w:p w:rsidR="00D72414" w:rsidRDefault="00C0362E">
      <w:pPr>
        <w:numPr>
          <w:ilvl w:val="1"/>
          <w:numId w:val="14"/>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lastRenderedPageBreak/>
        <w:t>The Charges for this Service consist of:</w:t>
      </w:r>
    </w:p>
    <w:p w:rsidR="00D72414" w:rsidRDefault="00C0362E">
      <w:pPr>
        <w:numPr>
          <w:ilvl w:val="3"/>
          <w:numId w:val="14"/>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Set-Up Charge; and</w:t>
      </w:r>
    </w:p>
    <w:p w:rsidR="00D72414" w:rsidRDefault="00C0362E">
      <w:pPr>
        <w:numPr>
          <w:ilvl w:val="3"/>
          <w:numId w:val="14"/>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the applicable Unit Price (see “d” below).</w:t>
      </w:r>
    </w:p>
    <w:p w:rsidR="00D72414" w:rsidRDefault="00C0362E">
      <w:pPr>
        <w:numPr>
          <w:ilvl w:val="1"/>
          <w:numId w:val="14"/>
        </w:numPr>
        <w:pBdr>
          <w:top w:val="nil"/>
          <w:left w:val="nil"/>
          <w:bottom w:val="nil"/>
          <w:right w:val="nil"/>
          <w:between w:val="nil"/>
        </w:pBdr>
        <w:spacing w:before="240"/>
        <w:jc w:val="both"/>
      </w:pPr>
      <w:r>
        <w:rPr>
          <w:rFonts w:ascii="Arial" w:eastAsia="Arial" w:hAnsi="Arial" w:cs="Arial"/>
          <w:color w:val="000000"/>
          <w:sz w:val="20"/>
          <w:szCs w:val="20"/>
        </w:rPr>
        <w:t>On a Monthly bases the Charges payable for this Service shall be calculated as follows:</w:t>
      </w:r>
    </w:p>
    <w:p w:rsidR="00D72414" w:rsidRDefault="00C0362E">
      <w:pPr>
        <w:keepNext/>
        <w:pBdr>
          <w:top w:val="nil"/>
          <w:left w:val="nil"/>
          <w:bottom w:val="nil"/>
          <w:right w:val="nil"/>
          <w:between w:val="nil"/>
        </w:pBdr>
        <w:spacing w:before="240"/>
        <w:ind w:left="1440" w:hanging="794"/>
        <w:jc w:val="both"/>
        <w:rPr>
          <w:rFonts w:ascii="Arial" w:eastAsia="Arial" w:hAnsi="Arial" w:cs="Arial"/>
          <w:b/>
          <w:color w:val="000000"/>
          <w:sz w:val="20"/>
          <w:szCs w:val="20"/>
        </w:rPr>
      </w:pPr>
      <w:r>
        <w:rPr>
          <w:rFonts w:ascii="Arial" w:eastAsia="Arial" w:hAnsi="Arial" w:cs="Arial"/>
          <w:b/>
          <w:color w:val="000000"/>
          <w:sz w:val="20"/>
          <w:szCs w:val="20"/>
        </w:rPr>
        <w:t>c = d * Units Ordered</w:t>
      </w:r>
    </w:p>
    <w:p w:rsidR="00D72414" w:rsidRDefault="00C0362E">
      <w:pPr>
        <w:keepNext/>
        <w:pBdr>
          <w:top w:val="nil"/>
          <w:left w:val="nil"/>
          <w:bottom w:val="nil"/>
          <w:right w:val="nil"/>
          <w:between w:val="nil"/>
        </w:pBdr>
        <w:spacing w:before="240"/>
        <w:ind w:left="1440" w:hanging="794"/>
        <w:jc w:val="both"/>
        <w:rPr>
          <w:rFonts w:ascii="Arial" w:eastAsia="Arial" w:hAnsi="Arial" w:cs="Arial"/>
          <w:color w:val="000000"/>
          <w:sz w:val="20"/>
          <w:szCs w:val="20"/>
        </w:rPr>
      </w:pPr>
      <w:r>
        <w:rPr>
          <w:rFonts w:ascii="Arial" w:eastAsia="Arial" w:hAnsi="Arial" w:cs="Arial"/>
          <w:color w:val="000000"/>
          <w:sz w:val="20"/>
          <w:szCs w:val="20"/>
        </w:rPr>
        <w:t>Where:</w:t>
      </w:r>
    </w:p>
    <w:p w:rsidR="00D72414" w:rsidRDefault="00C0362E">
      <w:pPr>
        <w:keepNext/>
        <w:pBdr>
          <w:top w:val="nil"/>
          <w:left w:val="nil"/>
          <w:bottom w:val="nil"/>
          <w:right w:val="nil"/>
          <w:between w:val="nil"/>
        </w:pBdr>
        <w:tabs>
          <w:tab w:val="left" w:pos="1418"/>
        </w:tabs>
        <w:spacing w:before="240"/>
        <w:ind w:left="1440" w:hanging="794"/>
        <w:jc w:val="both"/>
        <w:rPr>
          <w:rFonts w:ascii="Arial" w:eastAsia="Arial" w:hAnsi="Arial" w:cs="Arial"/>
          <w:color w:val="000000"/>
          <w:sz w:val="20"/>
          <w:szCs w:val="20"/>
        </w:rPr>
      </w:pPr>
      <w:r>
        <w:rPr>
          <w:rFonts w:ascii="Arial" w:eastAsia="Arial" w:hAnsi="Arial" w:cs="Arial"/>
          <w:b/>
          <w:color w:val="000000"/>
          <w:sz w:val="20"/>
          <w:szCs w:val="20"/>
        </w:rPr>
        <w:t>c</w:t>
      </w:r>
      <w:r>
        <w:rPr>
          <w:rFonts w:ascii="Arial" w:eastAsia="Arial" w:hAnsi="Arial" w:cs="Arial"/>
          <w:color w:val="000000"/>
          <w:sz w:val="20"/>
          <w:szCs w:val="20"/>
        </w:rPr>
        <w:t xml:space="preserve"> = </w:t>
      </w:r>
      <w:r>
        <w:rPr>
          <w:rFonts w:ascii="Arial" w:eastAsia="Arial" w:hAnsi="Arial" w:cs="Arial"/>
          <w:color w:val="000000"/>
          <w:sz w:val="20"/>
          <w:szCs w:val="20"/>
        </w:rPr>
        <w:tab/>
      </w:r>
      <w:r>
        <w:rPr>
          <w:rFonts w:ascii="Arial" w:eastAsia="Arial" w:hAnsi="Arial" w:cs="Arial"/>
          <w:color w:val="000000"/>
          <w:sz w:val="20"/>
          <w:szCs w:val="20"/>
        </w:rPr>
        <w:tab/>
        <w:t>the Monthly Charges payable in respect of the relevant Unit Price.</w:t>
      </w:r>
    </w:p>
    <w:p w:rsidR="00D72414" w:rsidRDefault="00C0362E">
      <w:pPr>
        <w:keepNext/>
        <w:pBdr>
          <w:top w:val="nil"/>
          <w:left w:val="nil"/>
          <w:bottom w:val="nil"/>
          <w:right w:val="nil"/>
          <w:between w:val="nil"/>
        </w:pBdr>
        <w:tabs>
          <w:tab w:val="left" w:pos="1418"/>
        </w:tabs>
        <w:spacing w:before="240"/>
        <w:ind w:left="1440" w:hanging="794"/>
        <w:jc w:val="both"/>
        <w:rPr>
          <w:rFonts w:ascii="Arial" w:eastAsia="Arial" w:hAnsi="Arial" w:cs="Arial"/>
          <w:color w:val="000000"/>
          <w:sz w:val="20"/>
          <w:szCs w:val="20"/>
        </w:rPr>
      </w:pPr>
      <w:r>
        <w:rPr>
          <w:rFonts w:ascii="Arial" w:eastAsia="Arial" w:hAnsi="Arial" w:cs="Arial"/>
          <w:b/>
          <w:color w:val="000000"/>
          <w:sz w:val="20"/>
          <w:szCs w:val="20"/>
        </w:rPr>
        <w:t xml:space="preserve">d </w:t>
      </w:r>
      <w:r>
        <w:rPr>
          <w:rFonts w:ascii="Arial" w:eastAsia="Arial" w:hAnsi="Arial" w:cs="Arial"/>
          <w:color w:val="000000"/>
          <w:sz w:val="20"/>
          <w:szCs w:val="20"/>
        </w:rPr>
        <w:t xml:space="preserve">= </w:t>
      </w:r>
      <w:r>
        <w:rPr>
          <w:rFonts w:ascii="Arial" w:eastAsia="Arial" w:hAnsi="Arial" w:cs="Arial"/>
          <w:color w:val="000000"/>
          <w:sz w:val="20"/>
          <w:szCs w:val="20"/>
        </w:rPr>
        <w:tab/>
      </w:r>
      <w:r>
        <w:rPr>
          <w:rFonts w:ascii="Arial" w:eastAsia="Arial" w:hAnsi="Arial" w:cs="Arial"/>
          <w:color w:val="000000"/>
          <w:sz w:val="20"/>
          <w:szCs w:val="20"/>
        </w:rPr>
        <w:tab/>
        <w:t>the Unit Price identified against such Services in URN 2.0 Table 1 below.</w:t>
      </w:r>
    </w:p>
    <w:p w:rsidR="00D72414" w:rsidRDefault="00C0362E">
      <w:pPr>
        <w:keepNext/>
        <w:pBdr>
          <w:top w:val="nil"/>
          <w:left w:val="nil"/>
          <w:bottom w:val="nil"/>
          <w:right w:val="nil"/>
          <w:between w:val="nil"/>
        </w:pBdr>
        <w:spacing w:before="240"/>
        <w:ind w:left="2160" w:hanging="1514"/>
        <w:jc w:val="both"/>
        <w:rPr>
          <w:rFonts w:ascii="Arial" w:eastAsia="Arial" w:hAnsi="Arial" w:cs="Arial"/>
          <w:color w:val="000000"/>
          <w:sz w:val="20"/>
          <w:szCs w:val="20"/>
        </w:rPr>
      </w:pPr>
      <w:r>
        <w:rPr>
          <w:rFonts w:ascii="Arial" w:eastAsia="Arial" w:hAnsi="Arial" w:cs="Arial"/>
          <w:b/>
          <w:color w:val="000000"/>
          <w:sz w:val="20"/>
          <w:szCs w:val="20"/>
        </w:rPr>
        <w:t>Units Ordered</w:t>
      </w:r>
      <w:r>
        <w:rPr>
          <w:rFonts w:ascii="Arial" w:eastAsia="Arial" w:hAnsi="Arial" w:cs="Arial"/>
          <w:color w:val="000000"/>
          <w:sz w:val="20"/>
          <w:szCs w:val="20"/>
        </w:rPr>
        <w:t xml:space="preserve"> = the number individual Units of any data URN within URN 2.0 Table 1 (below) received by the Buyer in any relevant Month.</w:t>
      </w:r>
    </w:p>
    <w:p w:rsidR="00D72414" w:rsidRDefault="00C0362E">
      <w:pPr>
        <w:numPr>
          <w:ilvl w:val="1"/>
          <w:numId w:val="14"/>
        </w:num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color w:val="000000"/>
          <w:sz w:val="20"/>
          <w:szCs w:val="20"/>
        </w:rPr>
        <w:t>Unless otherwise agreed by the Buyer in writing, the Unit Price is all-inclusive and encompasses all amounts required to be paid in respect of the Data and Information Service.</w:t>
      </w:r>
    </w:p>
    <w:p w:rsidR="00D72414" w:rsidRDefault="00C0362E">
      <w:pPr>
        <w:numPr>
          <w:ilvl w:val="1"/>
          <w:numId w:val="14"/>
        </w:numPr>
        <w:pBdr>
          <w:top w:val="nil"/>
          <w:left w:val="nil"/>
          <w:bottom w:val="nil"/>
          <w:right w:val="nil"/>
          <w:between w:val="nil"/>
        </w:pBdr>
        <w:spacing w:before="240"/>
        <w:jc w:val="both"/>
      </w:pPr>
      <w:r>
        <w:rPr>
          <w:rFonts w:ascii="Arial" w:eastAsia="Arial" w:hAnsi="Arial" w:cs="Arial"/>
          <w:color w:val="000000"/>
          <w:sz w:val="20"/>
          <w:szCs w:val="20"/>
        </w:rPr>
        <w:t xml:space="preserve">The Unit Price is set according to each data URN Service and this is set out under URN 2.0 within the Table 1 below. </w:t>
      </w:r>
    </w:p>
    <w:p w:rsidR="00D72414" w:rsidRDefault="00C0362E">
      <w:pPr>
        <w:numPr>
          <w:ilvl w:val="1"/>
          <w:numId w:val="14"/>
        </w:numPr>
        <w:pBdr>
          <w:top w:val="nil"/>
          <w:left w:val="nil"/>
          <w:bottom w:val="nil"/>
          <w:right w:val="nil"/>
          <w:between w:val="nil"/>
        </w:pBdr>
        <w:spacing w:before="240"/>
        <w:jc w:val="both"/>
      </w:pPr>
      <w:r>
        <w:rPr>
          <w:rFonts w:ascii="Arial" w:eastAsia="Arial" w:hAnsi="Arial" w:cs="Arial"/>
          <w:color w:val="000000"/>
          <w:sz w:val="20"/>
          <w:szCs w:val="20"/>
        </w:rPr>
        <w:t xml:space="preserve">The Unit Price will be Charged according to the Monthly Volume Band range for Services Ordered under URN 2.0a as set within URN 2.0a Table 1 (below) and payable Monthly by the Buyer. </w:t>
      </w:r>
      <w:r>
        <w:t xml:space="preserve"> </w:t>
      </w:r>
    </w:p>
    <w:p w:rsidR="00D72414" w:rsidRDefault="00C0362E">
      <w:pPr>
        <w:numPr>
          <w:ilvl w:val="1"/>
          <w:numId w:val="14"/>
        </w:numPr>
        <w:pBdr>
          <w:top w:val="nil"/>
          <w:left w:val="nil"/>
          <w:bottom w:val="nil"/>
          <w:right w:val="nil"/>
          <w:between w:val="nil"/>
        </w:pBdr>
        <w:spacing w:before="240"/>
        <w:jc w:val="both"/>
      </w:pPr>
      <w:r>
        <w:rPr>
          <w:rFonts w:ascii="Arial" w:eastAsia="Arial" w:hAnsi="Arial" w:cs="Arial"/>
          <w:sz w:val="20"/>
          <w:szCs w:val="20"/>
        </w:rPr>
        <w:t>The Set-Up Charge, where applicable, shall only be payable on one occasion only per Buyer Ordering the Data Solutions Services. Set-Up Charges shall only cover new requirements, development and configuration costs. Suppliers shall not Charge Buyers a Set-Up Charge for the use of any existing infrastructure or capability in relation to these Services.</w:t>
      </w:r>
    </w:p>
    <w:p w:rsidR="00D72414" w:rsidRDefault="00C0362E">
      <w:pPr>
        <w:numPr>
          <w:ilvl w:val="1"/>
          <w:numId w:val="14"/>
        </w:numPr>
        <w:pBdr>
          <w:top w:val="nil"/>
          <w:left w:val="nil"/>
          <w:bottom w:val="nil"/>
          <w:right w:val="nil"/>
          <w:between w:val="nil"/>
        </w:pBdr>
        <w:spacing w:before="240"/>
        <w:jc w:val="both"/>
      </w:pPr>
      <w:r>
        <w:rPr>
          <w:rFonts w:ascii="Arial" w:eastAsia="Arial" w:hAnsi="Arial" w:cs="Arial"/>
          <w:sz w:val="20"/>
          <w:szCs w:val="20"/>
        </w:rPr>
        <w:t xml:space="preserve">Where the Supplier is only providing part of the Services as set out in the Data Solution Service under Framework Schedule 1 (Specification), the Supplier must promptly, upon written request from the Relevant Authority, demonstrate how any Charges are calculated since the Supplier should not be charging the </w:t>
      </w:r>
      <w:proofErr w:type="gramStart"/>
      <w:r>
        <w:rPr>
          <w:rFonts w:ascii="Arial" w:eastAsia="Arial" w:hAnsi="Arial" w:cs="Arial"/>
          <w:sz w:val="20"/>
          <w:szCs w:val="20"/>
        </w:rPr>
        <w:t>full Service</w:t>
      </w:r>
      <w:proofErr w:type="gramEnd"/>
      <w:r>
        <w:rPr>
          <w:rFonts w:ascii="Arial" w:eastAsia="Arial" w:hAnsi="Arial" w:cs="Arial"/>
          <w:sz w:val="20"/>
          <w:szCs w:val="20"/>
        </w:rPr>
        <w:t xml:space="preserve"> price when only supplying part of it.  </w:t>
      </w:r>
    </w:p>
    <w:p w:rsidR="00D72414" w:rsidRDefault="00D72414">
      <w:pPr>
        <w:pBdr>
          <w:top w:val="nil"/>
          <w:left w:val="nil"/>
          <w:bottom w:val="nil"/>
          <w:right w:val="nil"/>
          <w:between w:val="nil"/>
        </w:pBdr>
        <w:spacing w:before="240"/>
        <w:ind w:left="794"/>
        <w:jc w:val="both"/>
      </w:pPr>
    </w:p>
    <w:p w:rsidR="00D72414" w:rsidRDefault="00C0362E">
      <w:pPr>
        <w:numPr>
          <w:ilvl w:val="0"/>
          <w:numId w:val="14"/>
        </w:numPr>
        <w:pBdr>
          <w:top w:val="nil"/>
          <w:left w:val="nil"/>
          <w:bottom w:val="nil"/>
          <w:right w:val="nil"/>
          <w:between w:val="nil"/>
        </w:pBdr>
        <w:ind w:left="709" w:hanging="709"/>
        <w:jc w:val="both"/>
      </w:pPr>
      <w:r>
        <w:rPr>
          <w:rFonts w:ascii="Arial" w:eastAsia="Arial" w:hAnsi="Arial" w:cs="Arial"/>
          <w:b/>
          <w:sz w:val="20"/>
          <w:szCs w:val="20"/>
        </w:rPr>
        <w:t xml:space="preserve">URN 2.0b Products and Reports (via APIs and On-Screen Interfaces) </w:t>
      </w:r>
    </w:p>
    <w:p w:rsidR="00D72414" w:rsidRDefault="00C0362E">
      <w:pPr>
        <w:pBdr>
          <w:top w:val="nil"/>
          <w:left w:val="nil"/>
          <w:bottom w:val="nil"/>
          <w:right w:val="nil"/>
          <w:between w:val="nil"/>
        </w:pBdr>
        <w:ind w:left="709"/>
        <w:jc w:val="both"/>
      </w:pPr>
      <w:r>
        <w:rPr>
          <w:rFonts w:ascii="Arial" w:eastAsia="Arial" w:hAnsi="Arial" w:cs="Arial"/>
          <w:sz w:val="20"/>
          <w:szCs w:val="20"/>
        </w:rPr>
        <w:t>The Charges for these Services shall be divided into two categories:</w:t>
      </w:r>
    </w:p>
    <w:p w:rsidR="00D72414" w:rsidRDefault="00C0362E">
      <w:pPr>
        <w:pBdr>
          <w:top w:val="nil"/>
          <w:left w:val="nil"/>
          <w:bottom w:val="nil"/>
          <w:right w:val="nil"/>
          <w:between w:val="nil"/>
        </w:pBdr>
        <w:ind w:left="709" w:hanging="709"/>
        <w:rPr>
          <w:rFonts w:ascii="Arial" w:eastAsia="Arial" w:hAnsi="Arial" w:cs="Arial"/>
          <w:b/>
          <w:color w:val="000000"/>
          <w:sz w:val="20"/>
          <w:szCs w:val="20"/>
        </w:rPr>
      </w:pPr>
      <w:r>
        <w:rPr>
          <w:rFonts w:ascii="Arial" w:eastAsia="Arial" w:hAnsi="Arial" w:cs="Arial"/>
          <w:b/>
          <w:color w:val="000000"/>
          <w:sz w:val="20"/>
          <w:szCs w:val="20"/>
        </w:rPr>
        <w:t xml:space="preserve"> </w:t>
      </w:r>
    </w:p>
    <w:p w:rsidR="00D72414" w:rsidRDefault="00C0362E">
      <w:pPr>
        <w:numPr>
          <w:ilvl w:val="1"/>
          <w:numId w:val="12"/>
        </w:numPr>
        <w:pBdr>
          <w:top w:val="nil"/>
          <w:left w:val="nil"/>
          <w:bottom w:val="nil"/>
          <w:right w:val="nil"/>
          <w:between w:val="nil"/>
        </w:pBdr>
        <w:ind w:left="709" w:hanging="709"/>
        <w:jc w:val="both"/>
        <w:rPr>
          <w:rFonts w:ascii="Arial" w:eastAsia="Arial" w:hAnsi="Arial" w:cs="Arial"/>
          <w:color w:val="000000"/>
          <w:sz w:val="20"/>
          <w:szCs w:val="20"/>
        </w:rPr>
      </w:pPr>
      <w:r>
        <w:rPr>
          <w:rFonts w:ascii="Arial" w:eastAsia="Arial" w:hAnsi="Arial" w:cs="Arial"/>
          <w:color w:val="000000"/>
          <w:sz w:val="20"/>
          <w:szCs w:val="20"/>
        </w:rPr>
        <w:lastRenderedPageBreak/>
        <w:t>The Charges for this Service are:</w:t>
      </w:r>
    </w:p>
    <w:p w:rsidR="00D72414" w:rsidRDefault="00C0362E">
      <w:pPr>
        <w:numPr>
          <w:ilvl w:val="3"/>
          <w:numId w:val="16"/>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Set-Up Cost – a one-off payment to cover Buyer specific costs of establishing the Service</w:t>
      </w:r>
    </w:p>
    <w:p w:rsidR="00D72414" w:rsidRDefault="00C0362E">
      <w:pPr>
        <w:numPr>
          <w:ilvl w:val="3"/>
          <w:numId w:val="16"/>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Unit Price Fees – Monthly usage fees based on Buyer’s usage of the Services</w:t>
      </w:r>
    </w:p>
    <w:p w:rsidR="00D72414" w:rsidRDefault="00C0362E">
      <w:pPr>
        <w:numPr>
          <w:ilvl w:val="1"/>
          <w:numId w:val="12"/>
        </w:numPr>
        <w:pBdr>
          <w:top w:val="nil"/>
          <w:left w:val="nil"/>
          <w:bottom w:val="nil"/>
          <w:right w:val="nil"/>
          <w:between w:val="nil"/>
        </w:pBdr>
        <w:spacing w:before="240"/>
        <w:ind w:left="709" w:hanging="709"/>
        <w:jc w:val="both"/>
      </w:pPr>
      <w:r>
        <w:rPr>
          <w:rFonts w:ascii="Arial" w:eastAsia="Arial" w:hAnsi="Arial" w:cs="Arial"/>
          <w:color w:val="000000"/>
          <w:sz w:val="20"/>
          <w:szCs w:val="20"/>
        </w:rPr>
        <w:t>The Charges for this Service shall be categorised as a Unit Price Fees. The Charges for Unit Price Fees shall be calculated as follows:</w:t>
      </w:r>
    </w:p>
    <w:p w:rsidR="00D72414" w:rsidRDefault="00C0362E">
      <w:pPr>
        <w:keepNext/>
        <w:pBdr>
          <w:top w:val="nil"/>
          <w:left w:val="nil"/>
          <w:bottom w:val="nil"/>
          <w:right w:val="nil"/>
          <w:between w:val="nil"/>
        </w:pBdr>
        <w:spacing w:before="240"/>
        <w:ind w:left="1440" w:hanging="794"/>
        <w:jc w:val="both"/>
        <w:rPr>
          <w:rFonts w:ascii="Arial" w:eastAsia="Arial" w:hAnsi="Arial" w:cs="Arial"/>
          <w:b/>
          <w:color w:val="000000"/>
          <w:sz w:val="20"/>
          <w:szCs w:val="20"/>
        </w:rPr>
      </w:pPr>
      <w:r>
        <w:rPr>
          <w:rFonts w:ascii="Arial" w:eastAsia="Arial" w:hAnsi="Arial" w:cs="Arial"/>
          <w:b/>
          <w:color w:val="000000"/>
          <w:sz w:val="20"/>
          <w:szCs w:val="20"/>
        </w:rPr>
        <w:t>c = d * Units Ordered</w:t>
      </w:r>
    </w:p>
    <w:p w:rsidR="00D72414" w:rsidRDefault="00C0362E">
      <w:pPr>
        <w:keepNext/>
        <w:pBdr>
          <w:top w:val="nil"/>
          <w:left w:val="nil"/>
          <w:bottom w:val="nil"/>
          <w:right w:val="nil"/>
          <w:between w:val="nil"/>
        </w:pBdr>
        <w:spacing w:before="240"/>
        <w:ind w:left="1440" w:hanging="794"/>
        <w:jc w:val="both"/>
        <w:rPr>
          <w:rFonts w:ascii="Arial" w:eastAsia="Arial" w:hAnsi="Arial" w:cs="Arial"/>
          <w:color w:val="000000"/>
          <w:sz w:val="20"/>
          <w:szCs w:val="20"/>
        </w:rPr>
      </w:pPr>
      <w:r>
        <w:rPr>
          <w:rFonts w:ascii="Arial" w:eastAsia="Arial" w:hAnsi="Arial" w:cs="Arial"/>
          <w:color w:val="000000"/>
          <w:sz w:val="20"/>
          <w:szCs w:val="20"/>
        </w:rPr>
        <w:t>Where:</w:t>
      </w:r>
    </w:p>
    <w:p w:rsidR="00D72414" w:rsidRDefault="00C0362E">
      <w:pPr>
        <w:keepNext/>
        <w:pBdr>
          <w:top w:val="nil"/>
          <w:left w:val="nil"/>
          <w:bottom w:val="nil"/>
          <w:right w:val="nil"/>
          <w:between w:val="nil"/>
        </w:pBdr>
        <w:tabs>
          <w:tab w:val="left" w:pos="1418"/>
        </w:tabs>
        <w:spacing w:before="240"/>
        <w:ind w:left="1440" w:hanging="794"/>
        <w:jc w:val="both"/>
        <w:rPr>
          <w:rFonts w:ascii="Arial" w:eastAsia="Arial" w:hAnsi="Arial" w:cs="Arial"/>
          <w:color w:val="000000"/>
          <w:sz w:val="20"/>
          <w:szCs w:val="20"/>
        </w:rPr>
      </w:pPr>
      <w:r>
        <w:rPr>
          <w:rFonts w:ascii="Arial" w:eastAsia="Arial" w:hAnsi="Arial" w:cs="Arial"/>
          <w:b/>
          <w:color w:val="000000"/>
          <w:sz w:val="20"/>
          <w:szCs w:val="20"/>
        </w:rPr>
        <w:t xml:space="preserve">c </w:t>
      </w:r>
      <w:r>
        <w:rPr>
          <w:rFonts w:ascii="Arial" w:eastAsia="Arial" w:hAnsi="Arial" w:cs="Arial"/>
          <w:color w:val="000000"/>
          <w:sz w:val="20"/>
          <w:szCs w:val="20"/>
        </w:rPr>
        <w:t xml:space="preserve">= </w:t>
      </w:r>
      <w:r>
        <w:rPr>
          <w:rFonts w:ascii="Arial" w:eastAsia="Arial" w:hAnsi="Arial" w:cs="Arial"/>
          <w:color w:val="000000"/>
          <w:sz w:val="20"/>
          <w:szCs w:val="20"/>
        </w:rPr>
        <w:tab/>
      </w:r>
      <w:r>
        <w:rPr>
          <w:rFonts w:ascii="Arial" w:eastAsia="Arial" w:hAnsi="Arial" w:cs="Arial"/>
          <w:color w:val="000000"/>
          <w:sz w:val="20"/>
          <w:szCs w:val="20"/>
        </w:rPr>
        <w:tab/>
        <w:t>the Monthly Charges payable in respect of the relevant Unit Price.</w:t>
      </w:r>
    </w:p>
    <w:p w:rsidR="00D72414" w:rsidRDefault="00C0362E">
      <w:pPr>
        <w:keepNext/>
        <w:pBdr>
          <w:top w:val="nil"/>
          <w:left w:val="nil"/>
          <w:bottom w:val="nil"/>
          <w:right w:val="nil"/>
          <w:between w:val="nil"/>
        </w:pBdr>
        <w:tabs>
          <w:tab w:val="left" w:pos="1418"/>
        </w:tabs>
        <w:spacing w:before="240"/>
        <w:ind w:left="1440" w:hanging="794"/>
        <w:jc w:val="both"/>
        <w:rPr>
          <w:rFonts w:ascii="Arial" w:eastAsia="Arial" w:hAnsi="Arial" w:cs="Arial"/>
          <w:color w:val="000000"/>
          <w:sz w:val="20"/>
          <w:szCs w:val="20"/>
        </w:rPr>
      </w:pPr>
      <w:r>
        <w:rPr>
          <w:rFonts w:ascii="Arial" w:eastAsia="Arial" w:hAnsi="Arial" w:cs="Arial"/>
          <w:b/>
          <w:color w:val="000000"/>
          <w:sz w:val="20"/>
          <w:szCs w:val="20"/>
        </w:rPr>
        <w:t>d</w:t>
      </w:r>
      <w:r>
        <w:rPr>
          <w:rFonts w:ascii="Arial" w:eastAsia="Arial" w:hAnsi="Arial" w:cs="Arial"/>
          <w:color w:val="000000"/>
          <w:sz w:val="20"/>
          <w:szCs w:val="20"/>
        </w:rPr>
        <w:t xml:space="preserve"> = </w:t>
      </w:r>
      <w:r>
        <w:rPr>
          <w:rFonts w:ascii="Arial" w:eastAsia="Arial" w:hAnsi="Arial" w:cs="Arial"/>
          <w:color w:val="000000"/>
          <w:sz w:val="20"/>
          <w:szCs w:val="20"/>
        </w:rPr>
        <w:tab/>
      </w:r>
      <w:r>
        <w:rPr>
          <w:rFonts w:ascii="Arial" w:eastAsia="Arial" w:hAnsi="Arial" w:cs="Arial"/>
          <w:color w:val="000000"/>
          <w:sz w:val="20"/>
          <w:szCs w:val="20"/>
        </w:rPr>
        <w:tab/>
        <w:t xml:space="preserve">the Unit Price identified against </w:t>
      </w:r>
      <w:r>
        <w:rPr>
          <w:rFonts w:ascii="Arial" w:eastAsia="Arial" w:hAnsi="Arial" w:cs="Arial"/>
          <w:sz w:val="20"/>
          <w:szCs w:val="20"/>
        </w:rPr>
        <w:t>such Services in Table 2.0b below.</w:t>
      </w:r>
    </w:p>
    <w:p w:rsidR="00D72414" w:rsidRDefault="00C0362E">
      <w:pPr>
        <w:keepNext/>
        <w:pBdr>
          <w:top w:val="nil"/>
          <w:left w:val="nil"/>
          <w:bottom w:val="nil"/>
          <w:right w:val="nil"/>
          <w:between w:val="nil"/>
        </w:pBdr>
        <w:spacing w:before="240"/>
        <w:ind w:left="2160" w:hanging="1514"/>
        <w:jc w:val="both"/>
        <w:rPr>
          <w:rFonts w:ascii="Arial" w:eastAsia="Arial" w:hAnsi="Arial" w:cs="Arial"/>
          <w:color w:val="000000"/>
          <w:sz w:val="20"/>
          <w:szCs w:val="20"/>
        </w:rPr>
      </w:pPr>
      <w:r>
        <w:rPr>
          <w:rFonts w:ascii="Arial" w:eastAsia="Arial" w:hAnsi="Arial" w:cs="Arial"/>
          <w:b/>
          <w:color w:val="000000"/>
          <w:sz w:val="20"/>
          <w:szCs w:val="20"/>
        </w:rPr>
        <w:t>Units Ordered</w:t>
      </w:r>
      <w:r>
        <w:rPr>
          <w:rFonts w:ascii="Arial" w:eastAsia="Arial" w:hAnsi="Arial" w:cs="Arial"/>
          <w:color w:val="000000"/>
          <w:sz w:val="20"/>
          <w:szCs w:val="20"/>
        </w:rPr>
        <w:t xml:space="preserve"> = the number individual reports received as detailed within the Buyer’s Contract</w:t>
      </w:r>
    </w:p>
    <w:p w:rsidR="00D72414" w:rsidRDefault="00C0362E">
      <w:pPr>
        <w:numPr>
          <w:ilvl w:val="1"/>
          <w:numId w:val="12"/>
        </w:numPr>
        <w:pBdr>
          <w:top w:val="nil"/>
          <w:left w:val="nil"/>
          <w:bottom w:val="nil"/>
          <w:right w:val="nil"/>
          <w:between w:val="nil"/>
        </w:pBdr>
        <w:spacing w:before="240"/>
        <w:ind w:left="567" w:hanging="567"/>
        <w:jc w:val="both"/>
        <w:rPr>
          <w:rFonts w:ascii="Arial" w:eastAsia="Arial" w:hAnsi="Arial" w:cs="Arial"/>
          <w:b/>
          <w:color w:val="000000"/>
          <w:sz w:val="20"/>
          <w:szCs w:val="20"/>
        </w:rPr>
      </w:pPr>
      <w:r>
        <w:rPr>
          <w:rFonts w:ascii="Arial" w:eastAsia="Arial" w:hAnsi="Arial" w:cs="Arial"/>
          <w:color w:val="000000"/>
          <w:sz w:val="20"/>
          <w:szCs w:val="20"/>
        </w:rPr>
        <w:t>Unless otherwise agreed with the Buyer, the Unit Price is all-inclusive and encompasses all amounts required to be paid in respect of the Service.</w:t>
      </w:r>
    </w:p>
    <w:p w:rsidR="00D72414" w:rsidRDefault="00C0362E">
      <w:pPr>
        <w:numPr>
          <w:ilvl w:val="1"/>
          <w:numId w:val="12"/>
        </w:numPr>
        <w:pBdr>
          <w:top w:val="nil"/>
          <w:left w:val="nil"/>
          <w:bottom w:val="nil"/>
          <w:right w:val="nil"/>
          <w:between w:val="nil"/>
        </w:pBdr>
        <w:spacing w:before="240"/>
        <w:ind w:left="567" w:hanging="567"/>
        <w:jc w:val="both"/>
      </w:pPr>
      <w:r>
        <w:rPr>
          <w:rFonts w:ascii="Arial" w:eastAsia="Arial" w:hAnsi="Arial" w:cs="Arial"/>
          <w:color w:val="000000"/>
          <w:sz w:val="20"/>
          <w:szCs w:val="20"/>
        </w:rPr>
        <w:t xml:space="preserve">The Unit Price is set according to each Service or bundle of Services ordered under URN 2.0b. (including where these are bundled) and is set out under URN 2.0b within Table 2 below. </w:t>
      </w:r>
    </w:p>
    <w:p w:rsidR="00D72414" w:rsidRDefault="00C0362E">
      <w:pPr>
        <w:numPr>
          <w:ilvl w:val="1"/>
          <w:numId w:val="12"/>
        </w:numPr>
        <w:pBdr>
          <w:top w:val="nil"/>
          <w:left w:val="nil"/>
          <w:bottom w:val="nil"/>
          <w:right w:val="nil"/>
          <w:between w:val="nil"/>
        </w:pBdr>
        <w:spacing w:before="240"/>
        <w:ind w:left="567" w:hanging="567"/>
        <w:jc w:val="both"/>
      </w:pPr>
      <w:r>
        <w:rPr>
          <w:rFonts w:ascii="Arial" w:eastAsia="Arial" w:hAnsi="Arial" w:cs="Arial"/>
          <w:color w:val="000000"/>
          <w:sz w:val="20"/>
          <w:szCs w:val="20"/>
        </w:rPr>
        <w:t xml:space="preserve">The Unit Price will be charged according to the Monthly Band range for Services ordered under URN 2.0 set within the URN 2.0 Tables 1 and 2 below and payable monthly by the Customer. </w:t>
      </w:r>
      <w:r>
        <w:t xml:space="preserve"> </w:t>
      </w:r>
    </w:p>
    <w:p w:rsidR="00D72414" w:rsidRDefault="00C0362E">
      <w:pPr>
        <w:numPr>
          <w:ilvl w:val="1"/>
          <w:numId w:val="12"/>
        </w:numPr>
        <w:pBdr>
          <w:top w:val="nil"/>
          <w:left w:val="nil"/>
          <w:bottom w:val="nil"/>
          <w:right w:val="nil"/>
          <w:between w:val="nil"/>
        </w:pBdr>
        <w:spacing w:before="240"/>
        <w:jc w:val="both"/>
      </w:pPr>
      <w:r>
        <w:rPr>
          <w:rFonts w:ascii="Arial" w:eastAsia="Arial" w:hAnsi="Arial" w:cs="Arial"/>
          <w:sz w:val="20"/>
          <w:szCs w:val="20"/>
        </w:rPr>
        <w:t>The Set-Up Cost shall only be charged once per individual Buyer Ordering the Service on an Open Book Costs basis. Set-Up Costs shall only cover new requirements, development and configuration costs. Suppliers shall not Charge Buyers a Set-Up Charge for the use of any existing infrastructure or capability.</w:t>
      </w:r>
    </w:p>
    <w:p w:rsidR="00D72414" w:rsidRDefault="00C0362E">
      <w:pPr>
        <w:numPr>
          <w:ilvl w:val="1"/>
          <w:numId w:val="12"/>
        </w:numPr>
        <w:pBdr>
          <w:top w:val="nil"/>
          <w:left w:val="nil"/>
          <w:bottom w:val="nil"/>
          <w:right w:val="nil"/>
          <w:between w:val="nil"/>
        </w:pBdr>
        <w:spacing w:before="240"/>
        <w:jc w:val="both"/>
      </w:pPr>
      <w:r>
        <w:rPr>
          <w:rFonts w:ascii="Arial" w:eastAsia="Arial" w:hAnsi="Arial" w:cs="Arial"/>
          <w:sz w:val="20"/>
          <w:szCs w:val="20"/>
        </w:rPr>
        <w:t>The Charges will be on an Open Book Basis and the Supplier should demonstrate how any cost reduction from not providing the full Service at URN2.0 has been considered in pricing this Service.</w:t>
      </w:r>
    </w:p>
    <w:p w:rsidR="00D72414" w:rsidRDefault="00C0362E">
      <w:pPr>
        <w:numPr>
          <w:ilvl w:val="0"/>
          <w:numId w:val="12"/>
        </w:num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b/>
          <w:color w:val="000000"/>
          <w:sz w:val="20"/>
          <w:szCs w:val="20"/>
        </w:rPr>
        <w:t>URN 2.0b Licence Based Pricing Option</w:t>
      </w:r>
    </w:p>
    <w:p w:rsidR="00D72414" w:rsidRDefault="00C0362E">
      <w:pPr>
        <w:numPr>
          <w:ilvl w:val="1"/>
          <w:numId w:val="12"/>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 xml:space="preserve">The Charges for this Service shall be based on a Licence Fee whereby the Supplier shall provide a list of products and reports that it can deliver to Buyers.  The Services provided under the Licence Fee shall entitle the Buyer to access and use the Supplier’s on-line platform or other Supplier Solution which </w:t>
      </w:r>
      <w:r>
        <w:rPr>
          <w:rFonts w:ascii="Arial" w:eastAsia="Arial" w:hAnsi="Arial" w:cs="Arial"/>
          <w:sz w:val="20"/>
          <w:szCs w:val="20"/>
        </w:rPr>
        <w:lastRenderedPageBreak/>
        <w:t>grants the Buyer access to these products and reports.  The applicable Charges shall be in line with the License Fee volume bands outlined in Table 3 below.</w:t>
      </w:r>
    </w:p>
    <w:p w:rsidR="00D72414" w:rsidRDefault="00C0362E">
      <w:pPr>
        <w:numPr>
          <w:ilvl w:val="1"/>
          <w:numId w:val="12"/>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It is at the Buyers sole discretion to select the License Fee based pricing option.</w:t>
      </w:r>
    </w:p>
    <w:p w:rsidR="00D72414" w:rsidRDefault="00C0362E">
      <w:pPr>
        <w:numPr>
          <w:ilvl w:val="1"/>
          <w:numId w:val="12"/>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The Buyer will specify the Licence Fee volume bands it intends to use at the Start Date of this Service under the Call-Off Contract.  However, the Buyer may at its sole discretion change the applicable Licence Fee volume bands or the requirement for a Licence by giving the Supplier at least 3 Months prior written notice of change or termination.  The Supplier acknowledges and agrees that the price of the Licence Fee shall incorporate all costs and termination fees associated with such change or termination.</w:t>
      </w:r>
    </w:p>
    <w:p w:rsidR="00D72414" w:rsidRDefault="00C0362E">
      <w:pPr>
        <w:numPr>
          <w:ilvl w:val="1"/>
          <w:numId w:val="12"/>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The Charges for the License Fee shall be calculated as follows:</w:t>
      </w:r>
    </w:p>
    <w:p w:rsidR="00D72414" w:rsidRDefault="00C0362E">
      <w:pPr>
        <w:numPr>
          <w:ilvl w:val="0"/>
          <w:numId w:val="15"/>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 xml:space="preserve">Set-Up Charge; and  </w:t>
      </w:r>
    </w:p>
    <w:p w:rsidR="00D72414" w:rsidRDefault="00C0362E">
      <w:pPr>
        <w:numPr>
          <w:ilvl w:val="0"/>
          <w:numId w:val="15"/>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Unit Price based on the Buyer’s forecast requirements (as set out in the Order Form) for Licence Fee volume bands within URN 2.0b Table 3 below.</w:t>
      </w:r>
    </w:p>
    <w:p w:rsidR="00D72414" w:rsidRDefault="00C0362E">
      <w:pPr>
        <w:numPr>
          <w:ilvl w:val="1"/>
          <w:numId w:val="12"/>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Paragraphs 1.4 and 1.7 of this Part C above shall apply to the Licence Fee charging option.</w:t>
      </w:r>
    </w:p>
    <w:p w:rsidR="00D72414" w:rsidRDefault="00C0362E">
      <w:pPr>
        <w:numPr>
          <w:ilvl w:val="1"/>
          <w:numId w:val="12"/>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Where the Supplier limits or restricts the volume or type of reports, data or action to be delivered within the scope of Services provided under the License, and the Buyer exceeds that scope, any excess or additional Charge claimed by the Supplier shall be as set out in URN 2.0a and 2.0b in Tables 1 or 2 below, but those Charges must be Approved by the Buyer on a Monthly basis and invoiced Monthly in arrears on a per item of data, bundle of data, or report or alert basis.</w:t>
      </w:r>
    </w:p>
    <w:p w:rsidR="00D72414" w:rsidRDefault="00D72414">
      <w:pPr>
        <w:pBdr>
          <w:top w:val="nil"/>
          <w:left w:val="nil"/>
          <w:bottom w:val="nil"/>
          <w:right w:val="nil"/>
          <w:between w:val="nil"/>
        </w:pBdr>
        <w:spacing w:before="240"/>
        <w:ind w:left="360"/>
        <w:jc w:val="both"/>
        <w:rPr>
          <w:rFonts w:ascii="Arial" w:eastAsia="Arial" w:hAnsi="Arial" w:cs="Arial"/>
          <w:sz w:val="20"/>
          <w:szCs w:val="20"/>
        </w:rPr>
      </w:pPr>
    </w:p>
    <w:p w:rsidR="00D72414" w:rsidRDefault="00C0362E">
      <w:pPr>
        <w:numPr>
          <w:ilvl w:val="0"/>
          <w:numId w:val="12"/>
        </w:numPr>
        <w:pBdr>
          <w:top w:val="nil"/>
          <w:left w:val="nil"/>
          <w:bottom w:val="nil"/>
          <w:right w:val="nil"/>
          <w:between w:val="nil"/>
        </w:pBdr>
        <w:spacing w:before="240"/>
        <w:jc w:val="both"/>
        <w:rPr>
          <w:rFonts w:ascii="Arial" w:eastAsia="Arial" w:hAnsi="Arial" w:cs="Arial"/>
          <w:b/>
          <w:sz w:val="20"/>
          <w:szCs w:val="20"/>
        </w:rPr>
      </w:pPr>
      <w:r>
        <w:rPr>
          <w:rFonts w:ascii="Arial" w:eastAsia="Arial" w:hAnsi="Arial" w:cs="Arial"/>
          <w:b/>
          <w:sz w:val="20"/>
          <w:szCs w:val="20"/>
        </w:rPr>
        <w:t>OPTIONAL SERVICES</w:t>
      </w:r>
    </w:p>
    <w:p w:rsidR="00D72414" w:rsidRDefault="00C0362E">
      <w:pPr>
        <w:numPr>
          <w:ilvl w:val="1"/>
          <w:numId w:val="12"/>
        </w:numPr>
        <w:pBdr>
          <w:top w:val="nil"/>
          <w:left w:val="nil"/>
          <w:bottom w:val="nil"/>
          <w:right w:val="nil"/>
          <w:between w:val="nil"/>
        </w:pBdr>
        <w:spacing w:before="240"/>
        <w:jc w:val="both"/>
        <w:rPr>
          <w:rFonts w:ascii="Arial" w:eastAsia="Arial" w:hAnsi="Arial" w:cs="Arial"/>
          <w:sz w:val="20"/>
          <w:szCs w:val="20"/>
        </w:rPr>
      </w:pPr>
      <w:r>
        <w:rPr>
          <w:rFonts w:ascii="Arial" w:eastAsia="Arial" w:hAnsi="Arial" w:cs="Arial"/>
          <w:sz w:val="20"/>
          <w:szCs w:val="20"/>
        </w:rPr>
        <w:t>Where the Supplier provides a list of products, services and solutions which are “Optional Services” under Framework Schedule 1 (Specification), the Supplier shall provide a list of the pricing for each of these Optional Services and it shall be inserted into Annex 1 of this Part B of this Schedule.</w:t>
      </w:r>
    </w:p>
    <w:p w:rsidR="00D72414" w:rsidRDefault="00D72414">
      <w:pPr>
        <w:pBdr>
          <w:top w:val="nil"/>
          <w:left w:val="nil"/>
          <w:bottom w:val="nil"/>
          <w:right w:val="nil"/>
          <w:between w:val="nil"/>
        </w:pBdr>
        <w:spacing w:before="240"/>
        <w:ind w:left="794"/>
        <w:jc w:val="both"/>
        <w:rPr>
          <w:rFonts w:ascii="Arial" w:eastAsia="Arial" w:hAnsi="Arial" w:cs="Arial"/>
          <w:color w:val="000000"/>
          <w:sz w:val="20"/>
          <w:szCs w:val="20"/>
        </w:rPr>
      </w:pPr>
    </w:p>
    <w:p w:rsidR="00D72414" w:rsidRDefault="00C0362E">
      <w:pPr>
        <w:pBdr>
          <w:top w:val="nil"/>
          <w:left w:val="nil"/>
          <w:bottom w:val="nil"/>
          <w:right w:val="nil"/>
          <w:between w:val="nil"/>
        </w:pBdr>
        <w:spacing w:before="240"/>
        <w:rPr>
          <w:rFonts w:ascii="Arial" w:eastAsia="Arial" w:hAnsi="Arial" w:cs="Arial"/>
          <w:b/>
          <w:sz w:val="20"/>
          <w:szCs w:val="20"/>
        </w:rPr>
      </w:pPr>
      <w:r>
        <w:rPr>
          <w:rFonts w:ascii="Arial" w:eastAsia="Arial" w:hAnsi="Arial" w:cs="Arial"/>
          <w:b/>
          <w:sz w:val="20"/>
          <w:szCs w:val="20"/>
        </w:rPr>
        <w:t>URN 2.0a Table 1 Data and Information</w:t>
      </w:r>
    </w:p>
    <w:p w:rsidR="00D72414" w:rsidRDefault="00D72414">
      <w:pPr>
        <w:pBdr>
          <w:top w:val="nil"/>
          <w:left w:val="nil"/>
          <w:bottom w:val="nil"/>
          <w:right w:val="nil"/>
          <w:between w:val="nil"/>
        </w:pBdr>
        <w:spacing w:before="240"/>
        <w:rPr>
          <w:rFonts w:ascii="Arial" w:eastAsia="Arial" w:hAnsi="Arial" w:cs="Arial"/>
          <w:b/>
          <w:sz w:val="20"/>
          <w:szCs w:val="20"/>
        </w:rPr>
      </w:pPr>
    </w:p>
    <w:tbl>
      <w:tblPr>
        <w:tblStyle w:val="affff1"/>
        <w:tblW w:w="13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5"/>
        <w:gridCol w:w="3243"/>
        <w:gridCol w:w="1134"/>
        <w:gridCol w:w="992"/>
        <w:gridCol w:w="992"/>
        <w:gridCol w:w="993"/>
        <w:gridCol w:w="992"/>
        <w:gridCol w:w="1134"/>
        <w:gridCol w:w="992"/>
        <w:gridCol w:w="992"/>
        <w:gridCol w:w="992"/>
      </w:tblGrid>
      <w:tr w:rsidR="00D72414">
        <w:trPr>
          <w:trHeight w:val="104"/>
        </w:trPr>
        <w:tc>
          <w:tcPr>
            <w:tcW w:w="1005" w:type="dxa"/>
            <w:shd w:val="clear" w:color="auto" w:fill="BFBFBF"/>
            <w:vAlign w:val="center"/>
          </w:tcPr>
          <w:p w:rsidR="00D72414" w:rsidRDefault="00D72414">
            <w:pPr>
              <w:spacing w:before="120" w:after="120"/>
              <w:rPr>
                <w:rFonts w:ascii="Arial" w:eastAsia="Arial" w:hAnsi="Arial" w:cs="Arial"/>
                <w:b/>
                <w:sz w:val="18"/>
                <w:szCs w:val="18"/>
              </w:rPr>
            </w:pPr>
          </w:p>
        </w:tc>
        <w:tc>
          <w:tcPr>
            <w:tcW w:w="3243" w:type="dxa"/>
            <w:shd w:val="clear" w:color="auto" w:fill="BFBFBF"/>
          </w:tcPr>
          <w:p w:rsidR="00D72414" w:rsidRDefault="00D72414">
            <w:pPr>
              <w:spacing w:before="120" w:after="120"/>
              <w:rPr>
                <w:rFonts w:ascii="Arial" w:eastAsia="Arial" w:hAnsi="Arial" w:cs="Arial"/>
                <w:b/>
                <w:sz w:val="18"/>
                <w:szCs w:val="18"/>
              </w:rPr>
            </w:pP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Volume Banding ID</w:t>
            </w: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A</w:t>
            </w: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B</w:t>
            </w:r>
          </w:p>
        </w:tc>
        <w:tc>
          <w:tcPr>
            <w:tcW w:w="993"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C</w:t>
            </w: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D</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E</w:t>
            </w: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F</w:t>
            </w: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G</w:t>
            </w: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H</w:t>
            </w:r>
          </w:p>
        </w:tc>
      </w:tr>
      <w:tr w:rsidR="00D72414">
        <w:trPr>
          <w:trHeight w:val="104"/>
        </w:trPr>
        <w:tc>
          <w:tcPr>
            <w:tcW w:w="1005" w:type="dxa"/>
            <w:shd w:val="clear" w:color="auto" w:fill="BFBFBF"/>
            <w:vAlign w:val="center"/>
          </w:tcPr>
          <w:p w:rsidR="00D72414" w:rsidRDefault="00C0362E">
            <w:pPr>
              <w:spacing w:before="120" w:after="120"/>
              <w:rPr>
                <w:rFonts w:ascii="Arial" w:eastAsia="Arial" w:hAnsi="Arial" w:cs="Arial"/>
                <w:b/>
                <w:sz w:val="18"/>
                <w:szCs w:val="18"/>
              </w:rPr>
            </w:pPr>
            <w:r>
              <w:rPr>
                <w:rFonts w:ascii="Arial" w:eastAsia="Arial" w:hAnsi="Arial" w:cs="Arial"/>
                <w:b/>
                <w:sz w:val="18"/>
                <w:szCs w:val="18"/>
              </w:rPr>
              <w:t>Service URN 2.0a</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Data URN</w:t>
            </w:r>
          </w:p>
        </w:tc>
        <w:tc>
          <w:tcPr>
            <w:tcW w:w="3243"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Description of Data or Information Requirement</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Single Unit Price (£)</w:t>
            </w: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Monthly Volume Band Price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&lt;1k</w:t>
            </w:r>
          </w:p>
          <w:p w:rsidR="00D72414" w:rsidRDefault="00D72414">
            <w:pPr>
              <w:spacing w:before="120" w:after="120"/>
              <w:rPr>
                <w:rFonts w:ascii="Arial" w:eastAsia="Arial" w:hAnsi="Arial" w:cs="Arial"/>
                <w:b/>
                <w:sz w:val="18"/>
                <w:szCs w:val="18"/>
              </w:rPr>
            </w:pP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Monthly Volume Band Price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1K - 10k</w:t>
            </w:r>
          </w:p>
          <w:p w:rsidR="00D72414" w:rsidRDefault="00D72414">
            <w:pPr>
              <w:spacing w:before="120" w:after="120"/>
              <w:rPr>
                <w:rFonts w:ascii="Arial" w:eastAsia="Arial" w:hAnsi="Arial" w:cs="Arial"/>
                <w:b/>
                <w:sz w:val="18"/>
                <w:szCs w:val="18"/>
              </w:rPr>
            </w:pPr>
          </w:p>
        </w:tc>
        <w:tc>
          <w:tcPr>
            <w:tcW w:w="993"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Monthly Volume Band Price</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&gt;10k - 50k</w:t>
            </w: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Monthly Volume Band Price</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&gt;50k – 100k</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Monthly Volume Band Price</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&gt;100k – 500k</w:t>
            </w: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Monthly Volume Band Price</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&gt;500k – 1m</w:t>
            </w: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Monthly Volume Band Price</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&gt;1m – 1.5m</w:t>
            </w: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Monthly Volume Band Price</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&gt;1.5m</w:t>
            </w:r>
          </w:p>
        </w:tc>
      </w:tr>
      <w:tr w:rsidR="00D72414">
        <w:trPr>
          <w:trHeight w:val="347"/>
        </w:trPr>
        <w:tc>
          <w:tcPr>
            <w:tcW w:w="1005" w:type="dxa"/>
            <w:shd w:val="clear" w:color="auto" w:fill="auto"/>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spacing w:before="120" w:after="120"/>
              <w:rPr>
                <w:rFonts w:ascii="Arial" w:eastAsia="Arial" w:hAnsi="Arial" w:cs="Arial"/>
                <w:sz w:val="18"/>
                <w:szCs w:val="18"/>
              </w:rPr>
            </w:pPr>
            <w:r>
              <w:rPr>
                <w:rFonts w:ascii="Arial" w:eastAsia="Arial" w:hAnsi="Arial" w:cs="Arial"/>
                <w:sz w:val="18"/>
                <w:szCs w:val="18"/>
              </w:rPr>
              <w:t>Full name and gender and any aliases</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347"/>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DOB</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347"/>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Contact information, telephone numbers (landline, mobile, work) email addresses</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347"/>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Full current address and previous addresses including dates of occupancy</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347"/>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Residency Score / Likelihood of residency indicator</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52"/>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spacing w:before="120" w:after="120"/>
              <w:rPr>
                <w:rFonts w:ascii="Arial" w:eastAsia="Arial" w:hAnsi="Arial" w:cs="Arial"/>
                <w:sz w:val="18"/>
                <w:szCs w:val="18"/>
              </w:rPr>
            </w:pPr>
            <w:r>
              <w:rPr>
                <w:rFonts w:ascii="Arial" w:eastAsia="Arial" w:hAnsi="Arial" w:cs="Arial"/>
                <w:sz w:val="18"/>
                <w:szCs w:val="18"/>
              </w:rPr>
              <w:t xml:space="preserve">Confirmation that individual lives at most recent address (Living </w:t>
            </w:r>
            <w:proofErr w:type="gramStart"/>
            <w:r>
              <w:rPr>
                <w:rFonts w:ascii="Arial" w:eastAsia="Arial" w:hAnsi="Arial" w:cs="Arial"/>
                <w:sz w:val="18"/>
                <w:szCs w:val="18"/>
              </w:rPr>
              <w:t>As</w:t>
            </w:r>
            <w:proofErr w:type="gramEnd"/>
            <w:r>
              <w:rPr>
                <w:rFonts w:ascii="Arial" w:eastAsia="Arial" w:hAnsi="Arial" w:cs="Arial"/>
                <w:sz w:val="18"/>
                <w:szCs w:val="18"/>
              </w:rPr>
              <w:t xml:space="preserve"> Stated) and dates of occupancy</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52"/>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spacing w:before="120" w:after="120"/>
              <w:rPr>
                <w:rFonts w:ascii="Arial" w:eastAsia="Arial" w:hAnsi="Arial" w:cs="Arial"/>
                <w:sz w:val="18"/>
                <w:szCs w:val="18"/>
              </w:rPr>
            </w:pPr>
            <w:r>
              <w:rPr>
                <w:rFonts w:ascii="Arial" w:eastAsia="Arial" w:hAnsi="Arial" w:cs="Arial"/>
                <w:sz w:val="18"/>
                <w:szCs w:val="18"/>
              </w:rPr>
              <w:t>Gone-away Confirmation that no recent address or credit information can be obtained and last known occupancy date</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52"/>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vAlign w:val="center"/>
          </w:tcPr>
          <w:p w:rsidR="00D72414" w:rsidRDefault="00C0362E">
            <w:pPr>
              <w:spacing w:before="120" w:after="120"/>
              <w:rPr>
                <w:rFonts w:ascii="Arial" w:eastAsia="Arial" w:hAnsi="Arial" w:cs="Arial"/>
                <w:sz w:val="18"/>
                <w:szCs w:val="18"/>
              </w:rPr>
            </w:pPr>
            <w:r>
              <w:rPr>
                <w:rFonts w:ascii="Arial" w:eastAsia="Arial" w:hAnsi="Arial" w:cs="Arial"/>
                <w:sz w:val="18"/>
                <w:szCs w:val="18"/>
              </w:rPr>
              <w:t>Number of County Court Judgments including age and value</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52"/>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vAlign w:val="center"/>
          </w:tcPr>
          <w:p w:rsidR="00D72414" w:rsidRDefault="00C0362E">
            <w:pPr>
              <w:spacing w:before="120" w:after="120"/>
              <w:rPr>
                <w:rFonts w:ascii="Arial" w:eastAsia="Arial" w:hAnsi="Arial" w:cs="Arial"/>
                <w:sz w:val="18"/>
                <w:szCs w:val="18"/>
              </w:rPr>
            </w:pPr>
            <w:r>
              <w:rPr>
                <w:rFonts w:ascii="Arial" w:eastAsia="Arial" w:hAnsi="Arial" w:cs="Arial"/>
                <w:sz w:val="18"/>
                <w:szCs w:val="18"/>
              </w:rPr>
              <w:t>CRA Data and Propensity Score including;</w:t>
            </w:r>
          </w:p>
          <w:p w:rsidR="00D72414" w:rsidRDefault="00C0362E">
            <w:pPr>
              <w:spacing w:before="120" w:after="120"/>
              <w:rPr>
                <w:rFonts w:ascii="Arial" w:eastAsia="Arial" w:hAnsi="Arial" w:cs="Arial"/>
                <w:sz w:val="18"/>
                <w:szCs w:val="18"/>
              </w:rPr>
            </w:pPr>
            <w:r>
              <w:rPr>
                <w:rFonts w:ascii="Arial" w:eastAsia="Arial" w:hAnsi="Arial" w:cs="Arial"/>
                <w:sz w:val="18"/>
                <w:szCs w:val="18"/>
              </w:rPr>
              <w:lastRenderedPageBreak/>
              <w:t>Broad access to Credit Reference Agency / Credit Bureau data including; individual income and expenditure and financial products e.g. loans, bank accounts, overdrafts, store cards, utility bills, mortgages etc. alongside associated payment and default history</w:t>
            </w:r>
          </w:p>
          <w:p w:rsidR="00D72414" w:rsidRDefault="00D72414">
            <w:pPr>
              <w:widowControl w:val="0"/>
              <w:pBdr>
                <w:top w:val="nil"/>
                <w:left w:val="nil"/>
                <w:bottom w:val="nil"/>
                <w:right w:val="nil"/>
                <w:between w:val="nil"/>
              </w:pBdr>
              <w:spacing w:line="276" w:lineRule="auto"/>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vAlign w:val="center"/>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Identification of individuals in Bankruptcy, Debt Management Plans (DMP) or Individual Voluntary Agreement (IVA) and other forms of insolvency</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vAlign w:val="center"/>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Identification of individuals facing mild to extreme financial difficulty/vulnerability</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vAlign w:val="center"/>
          </w:tcPr>
          <w:p w:rsidR="00D72414" w:rsidRDefault="00C0362E">
            <w:pPr>
              <w:spacing w:before="120" w:after="120"/>
              <w:rPr>
                <w:rFonts w:ascii="Arial" w:eastAsia="Arial" w:hAnsi="Arial" w:cs="Arial"/>
                <w:sz w:val="18"/>
                <w:szCs w:val="18"/>
              </w:rPr>
            </w:pPr>
            <w:r>
              <w:rPr>
                <w:rFonts w:ascii="Arial" w:eastAsia="Arial" w:hAnsi="Arial" w:cs="Arial"/>
                <w:sz w:val="18"/>
                <w:szCs w:val="18"/>
              </w:rPr>
              <w:t>Standard of living/lifestyle analysis to categorise and predict future behaviours within household/individual finances</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vAlign w:val="center"/>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Channel preference</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 xml:space="preserve">Previous channel exposure and responsiveness </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spacing w:before="120" w:after="120"/>
              <w:rPr>
                <w:rFonts w:ascii="Arial" w:eastAsia="Arial" w:hAnsi="Arial" w:cs="Arial"/>
                <w:sz w:val="18"/>
                <w:szCs w:val="18"/>
              </w:rPr>
            </w:pPr>
            <w:r>
              <w:rPr>
                <w:rFonts w:ascii="Arial" w:eastAsia="Arial" w:hAnsi="Arial" w:cs="Arial"/>
                <w:sz w:val="18"/>
                <w:szCs w:val="18"/>
              </w:rPr>
              <w:t>Economic Insights including standard of living and lifestyle analysis</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spacing w:before="120" w:after="120"/>
              <w:rPr>
                <w:rFonts w:ascii="Arial" w:eastAsia="Arial" w:hAnsi="Arial" w:cs="Arial"/>
                <w:sz w:val="18"/>
                <w:szCs w:val="18"/>
              </w:rPr>
            </w:pPr>
            <w:r>
              <w:rPr>
                <w:rFonts w:ascii="Arial" w:eastAsia="Arial" w:hAnsi="Arial" w:cs="Arial"/>
                <w:sz w:val="18"/>
                <w:szCs w:val="18"/>
              </w:rPr>
              <w:t>Scoring and segmentation based on ability and propensity to pay, ‘can’t pays’ and ‘won’t pays’</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spacing w:before="120" w:after="120"/>
              <w:rPr>
                <w:rFonts w:ascii="Arial" w:eastAsia="Arial" w:hAnsi="Arial" w:cs="Arial"/>
                <w:sz w:val="18"/>
                <w:szCs w:val="18"/>
              </w:rPr>
            </w:pPr>
            <w:r>
              <w:rPr>
                <w:rFonts w:ascii="Arial" w:eastAsia="Arial" w:hAnsi="Arial" w:cs="Arial"/>
                <w:sz w:val="18"/>
                <w:szCs w:val="18"/>
              </w:rPr>
              <w:t xml:space="preserve">Bank of England Sanctions lists and other fraud identification sources e.g. CIFAS etc. </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 xml:space="preserve">Fraud identification, counter-fraud measures and assessment of fraud </w:t>
            </w:r>
            <w:r>
              <w:rPr>
                <w:rFonts w:ascii="Arial" w:eastAsia="Arial" w:hAnsi="Arial" w:cs="Arial"/>
                <w:sz w:val="18"/>
                <w:szCs w:val="18"/>
              </w:rPr>
              <w:lastRenderedPageBreak/>
              <w:t xml:space="preserve">risks e.g. undeclared individuals living in a property </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spacing w:before="120" w:after="120"/>
              <w:rPr>
                <w:rFonts w:ascii="Arial" w:eastAsia="Arial" w:hAnsi="Arial" w:cs="Arial"/>
                <w:sz w:val="18"/>
                <w:szCs w:val="18"/>
              </w:rPr>
            </w:pPr>
            <w:r>
              <w:rPr>
                <w:rFonts w:ascii="Arial" w:eastAsia="Arial" w:hAnsi="Arial" w:cs="Arial"/>
                <w:sz w:val="18"/>
                <w:szCs w:val="18"/>
              </w:rPr>
              <w:t>Identification of personal assets</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Credit/valuation data on assets including but not limited to; equity, bank accounts, house ownership, sale/purchase prices etc.</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spacing w:before="120" w:after="120"/>
              <w:rPr>
                <w:rFonts w:ascii="Arial" w:eastAsia="Arial" w:hAnsi="Arial" w:cs="Arial"/>
                <w:sz w:val="18"/>
                <w:szCs w:val="18"/>
              </w:rPr>
            </w:pPr>
            <w:r>
              <w:rPr>
                <w:rFonts w:ascii="Arial" w:eastAsia="Arial" w:hAnsi="Arial" w:cs="Arial"/>
                <w:sz w:val="18"/>
                <w:szCs w:val="18"/>
              </w:rPr>
              <w:t>Company House Data</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Company Financial Reports</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 xml:space="preserve">General information on business activity e.g. individual companies, partnerships, directorships, insurance, firms showing signs of financial distress or entering into financial administration, liquidation and insolvency </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spacing w:before="120" w:after="120"/>
              <w:rPr>
                <w:rFonts w:ascii="Arial" w:eastAsia="Arial" w:hAnsi="Arial" w:cs="Arial"/>
                <w:sz w:val="18"/>
                <w:szCs w:val="18"/>
              </w:rPr>
            </w:pPr>
            <w:r>
              <w:rPr>
                <w:rFonts w:ascii="Arial" w:eastAsia="Arial" w:hAnsi="Arial" w:cs="Arial"/>
                <w:sz w:val="18"/>
                <w:szCs w:val="18"/>
              </w:rPr>
              <w:t>Identification of deceased persons</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Probate status</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Probate asset identification</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Executor Information</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spacing w:before="120" w:after="120"/>
              <w:rPr>
                <w:rFonts w:ascii="Arial" w:eastAsia="Arial" w:hAnsi="Arial" w:cs="Arial"/>
                <w:sz w:val="18"/>
                <w:szCs w:val="18"/>
              </w:rPr>
            </w:pPr>
            <w:r>
              <w:rPr>
                <w:rFonts w:ascii="Arial" w:eastAsia="Arial" w:hAnsi="Arial" w:cs="Arial"/>
                <w:sz w:val="18"/>
                <w:szCs w:val="18"/>
              </w:rPr>
              <w:t>Matching of data relating to a Customer across two or more Debts owned by one Buyer.</w:t>
            </w:r>
          </w:p>
          <w:p w:rsidR="00D72414" w:rsidRDefault="00C0362E">
            <w:pPr>
              <w:spacing w:before="120" w:after="120"/>
              <w:rPr>
                <w:rFonts w:ascii="Arial" w:eastAsia="Arial" w:hAnsi="Arial" w:cs="Arial"/>
                <w:sz w:val="18"/>
                <w:szCs w:val="18"/>
              </w:rPr>
            </w:pPr>
            <w:r>
              <w:rPr>
                <w:rFonts w:ascii="Arial" w:eastAsia="Arial" w:hAnsi="Arial" w:cs="Arial"/>
                <w:i/>
                <w:sz w:val="18"/>
                <w:szCs w:val="18"/>
              </w:rPr>
              <w:t>Subject to the Buyer's written consent and assessment for Compliance with the Data Protection Act 2018 and any applicable data sharing gateways.</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spacing w:before="120" w:after="120"/>
              <w:rPr>
                <w:rFonts w:ascii="Arial" w:eastAsia="Arial" w:hAnsi="Arial" w:cs="Arial"/>
                <w:sz w:val="18"/>
                <w:szCs w:val="18"/>
              </w:rPr>
            </w:pPr>
            <w:r>
              <w:rPr>
                <w:rFonts w:ascii="Arial" w:eastAsia="Arial" w:hAnsi="Arial" w:cs="Arial"/>
                <w:sz w:val="18"/>
                <w:szCs w:val="18"/>
              </w:rPr>
              <w:t xml:space="preserve">Use of CRA and other personal financial data to check individual financial affordability or potential </w:t>
            </w:r>
            <w:r>
              <w:rPr>
                <w:rFonts w:ascii="Arial" w:eastAsia="Arial" w:hAnsi="Arial" w:cs="Arial"/>
                <w:sz w:val="18"/>
                <w:szCs w:val="18"/>
              </w:rPr>
              <w:lastRenderedPageBreak/>
              <w:t>financial vulnerability for tenancy applications</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Use of commercial financial data to check business affordability or potential financial vulnerability for tenancy applications</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SBRR Checks</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NNDR Checks</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Full and historic electoral roll, address and location information</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Business Insolvency Data</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vAlign w:val="center"/>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Wealth Modelling Data</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vAlign w:val="center"/>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Company Bank and Insurance Data Information about premiums and claims</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vAlign w:val="center"/>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Open Banking Data Consented and validated income and expenditure data</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vAlign w:val="center"/>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Lifestyle Information</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Latest and previous address history held for individuals identified as having a link with a Customer - with lagged fields for previous address history over the specified time period. Indicator for  primary address;</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Identification of spouse and/or financial associates to customer;</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Financial links to customer/claim address, months or dates that account moved to addresses and date of most recent activity;</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Joint applications  and marker to show that account is joint;</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Date of occupancy, redirection dates, dates property sold;</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Gone Away indicator; and</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Flag to show forwarding address indicator and address of any forwarding/redirection addresses.</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tcPr>
          <w:p w:rsidR="00D72414" w:rsidRDefault="00C0362E">
            <w:pPr>
              <w:shd w:val="clear" w:color="auto" w:fill="FFFFFF"/>
              <w:tabs>
                <w:tab w:val="left" w:pos="1620"/>
              </w:tabs>
              <w:rPr>
                <w:rFonts w:ascii="Arial" w:eastAsia="Arial" w:hAnsi="Arial" w:cs="Arial"/>
                <w:sz w:val="18"/>
                <w:szCs w:val="18"/>
              </w:rPr>
            </w:pPr>
            <w:r>
              <w:rPr>
                <w:rFonts w:ascii="Arial" w:eastAsia="Arial" w:hAnsi="Arial" w:cs="Arial"/>
                <w:sz w:val="18"/>
                <w:szCs w:val="18"/>
              </w:rPr>
              <w:t>Accounts Data ( which may indicate a joint financial responsibility or a link to an address) to show dates accounts moved to address and dates of most recent activity; and</w:t>
            </w:r>
          </w:p>
          <w:p w:rsidR="00D72414" w:rsidRDefault="00C0362E">
            <w:pPr>
              <w:shd w:val="clear" w:color="auto" w:fill="FFFFFF"/>
              <w:rPr>
                <w:rFonts w:ascii="Arial" w:eastAsia="Arial" w:hAnsi="Arial" w:cs="Arial"/>
                <w:sz w:val="18"/>
                <w:szCs w:val="18"/>
              </w:rPr>
            </w:pPr>
            <w:r>
              <w:rPr>
                <w:rFonts w:ascii="Arial" w:eastAsia="Arial" w:hAnsi="Arial" w:cs="Arial"/>
                <w:sz w:val="18"/>
                <w:szCs w:val="18"/>
              </w:rPr>
              <w:t xml:space="preserve">Credit Card accounts, Bank Accounts, Current Bank Accounts, Mortgages, </w:t>
            </w:r>
            <w:proofErr w:type="gramStart"/>
            <w:r>
              <w:rPr>
                <w:rFonts w:ascii="Arial" w:eastAsia="Arial" w:hAnsi="Arial" w:cs="Arial"/>
                <w:sz w:val="18"/>
                <w:szCs w:val="18"/>
              </w:rPr>
              <w:t>Pay</w:t>
            </w:r>
            <w:proofErr w:type="gramEnd"/>
            <w:r>
              <w:rPr>
                <w:rFonts w:ascii="Arial" w:eastAsia="Arial" w:hAnsi="Arial" w:cs="Arial"/>
                <w:sz w:val="18"/>
                <w:szCs w:val="18"/>
              </w:rPr>
              <w:t xml:space="preserve"> day loans, Secured and Unsecured loans, Store Cards, Mail Order, TV Licence, Utilities, Communications Accounts ( e.g. Mobile Phone, Broadband, Sky) Consumer subscriptions ( i.e. magazines), Insurance( all). </w:t>
            </w:r>
          </w:p>
          <w:p w:rsidR="00D72414" w:rsidRDefault="00D72414">
            <w:pPr>
              <w:widowControl w:val="0"/>
              <w:pBdr>
                <w:top w:val="nil"/>
                <w:left w:val="nil"/>
                <w:bottom w:val="nil"/>
                <w:right w:val="nil"/>
                <w:between w:val="nil"/>
              </w:pBdr>
              <w:spacing w:line="276" w:lineRule="auto"/>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vAlign w:val="center"/>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Business Credit Rating</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r w:rsidR="00D72414">
        <w:trPr>
          <w:trHeight w:val="45"/>
        </w:trPr>
        <w:tc>
          <w:tcPr>
            <w:tcW w:w="1005" w:type="dxa"/>
            <w:shd w:val="clear" w:color="auto" w:fill="auto"/>
            <w:vAlign w:val="center"/>
          </w:tcPr>
          <w:p w:rsidR="00D72414" w:rsidRDefault="00D72414">
            <w:pPr>
              <w:numPr>
                <w:ilvl w:val="0"/>
                <w:numId w:val="9"/>
              </w:numPr>
              <w:pBdr>
                <w:top w:val="nil"/>
                <w:left w:val="nil"/>
                <w:bottom w:val="nil"/>
                <w:right w:val="nil"/>
                <w:between w:val="nil"/>
              </w:pBdr>
              <w:spacing w:before="120" w:after="120"/>
              <w:rPr>
                <w:rFonts w:ascii="Arial" w:eastAsia="Arial" w:hAnsi="Arial" w:cs="Arial"/>
                <w:sz w:val="18"/>
                <w:szCs w:val="18"/>
              </w:rPr>
            </w:pPr>
          </w:p>
        </w:tc>
        <w:tc>
          <w:tcPr>
            <w:tcW w:w="3243" w:type="dxa"/>
            <w:vAlign w:val="center"/>
          </w:tcPr>
          <w:p w:rsidR="00D72414" w:rsidRDefault="00C0362E">
            <w:pPr>
              <w:widowControl w:val="0"/>
              <w:pBdr>
                <w:top w:val="nil"/>
                <w:left w:val="nil"/>
                <w:bottom w:val="nil"/>
                <w:right w:val="nil"/>
                <w:between w:val="nil"/>
              </w:pBdr>
              <w:spacing w:line="276" w:lineRule="auto"/>
              <w:rPr>
                <w:rFonts w:ascii="Arial" w:eastAsia="Arial" w:hAnsi="Arial" w:cs="Arial"/>
                <w:sz w:val="18"/>
                <w:szCs w:val="18"/>
              </w:rPr>
            </w:pPr>
            <w:r>
              <w:rPr>
                <w:rFonts w:ascii="Arial" w:eastAsia="Arial" w:hAnsi="Arial" w:cs="Arial"/>
                <w:sz w:val="18"/>
                <w:szCs w:val="18"/>
              </w:rPr>
              <w:t>SME derived credit rating</w:t>
            </w: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3"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1134"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c>
          <w:tcPr>
            <w:tcW w:w="992" w:type="dxa"/>
          </w:tcPr>
          <w:p w:rsidR="00D72414" w:rsidRDefault="00D72414">
            <w:pPr>
              <w:spacing w:before="120" w:after="120"/>
              <w:rPr>
                <w:rFonts w:ascii="Arial" w:eastAsia="Arial" w:hAnsi="Arial" w:cs="Arial"/>
                <w:sz w:val="18"/>
                <w:szCs w:val="18"/>
              </w:rPr>
            </w:pPr>
          </w:p>
        </w:tc>
      </w:tr>
    </w:tbl>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C0362E">
      <w:pPr>
        <w:rPr>
          <w:rFonts w:ascii="Arial" w:eastAsia="Arial" w:hAnsi="Arial" w:cs="Arial"/>
          <w:b/>
          <w:sz w:val="22"/>
          <w:szCs w:val="22"/>
        </w:rPr>
      </w:pPr>
      <w:r>
        <w:rPr>
          <w:rFonts w:ascii="Arial" w:eastAsia="Arial" w:hAnsi="Arial" w:cs="Arial"/>
          <w:b/>
          <w:sz w:val="22"/>
          <w:szCs w:val="22"/>
        </w:rPr>
        <w:t>URN 2.0b Table 2</w:t>
      </w:r>
    </w:p>
    <w:p w:rsidR="00D72414" w:rsidRDefault="00D72414">
      <w:pPr>
        <w:rPr>
          <w:rFonts w:ascii="Arial" w:eastAsia="Arial" w:hAnsi="Arial" w:cs="Arial"/>
          <w:b/>
          <w:sz w:val="22"/>
          <w:szCs w:val="22"/>
        </w:rPr>
      </w:pPr>
    </w:p>
    <w:tbl>
      <w:tblPr>
        <w:tblStyle w:val="affff2"/>
        <w:tblW w:w="15021"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129"/>
        <w:gridCol w:w="1560"/>
        <w:gridCol w:w="2551"/>
        <w:gridCol w:w="1134"/>
        <w:gridCol w:w="992"/>
        <w:gridCol w:w="993"/>
        <w:gridCol w:w="1275"/>
        <w:gridCol w:w="993"/>
        <w:gridCol w:w="1134"/>
        <w:gridCol w:w="1134"/>
        <w:gridCol w:w="1134"/>
        <w:gridCol w:w="992"/>
      </w:tblGrid>
      <w:tr w:rsidR="00D72414">
        <w:tc>
          <w:tcPr>
            <w:tcW w:w="1129" w:type="dxa"/>
            <w:shd w:val="clear" w:color="auto" w:fill="2E77BB"/>
          </w:tcPr>
          <w:p w:rsidR="00D72414" w:rsidRDefault="00D72414">
            <w:pPr>
              <w:spacing w:line="276" w:lineRule="auto"/>
              <w:rPr>
                <w:rFonts w:ascii="Arial" w:eastAsia="Arial" w:hAnsi="Arial" w:cs="Arial"/>
                <w:color w:val="FFFFFF"/>
                <w:sz w:val="20"/>
                <w:szCs w:val="20"/>
              </w:rPr>
            </w:pPr>
          </w:p>
        </w:tc>
        <w:tc>
          <w:tcPr>
            <w:tcW w:w="1560" w:type="dxa"/>
            <w:shd w:val="clear" w:color="auto" w:fill="2E77BB"/>
          </w:tcPr>
          <w:p w:rsidR="00D72414" w:rsidRDefault="00D72414">
            <w:pPr>
              <w:spacing w:line="276" w:lineRule="auto"/>
              <w:rPr>
                <w:rFonts w:ascii="Arial" w:eastAsia="Arial" w:hAnsi="Arial" w:cs="Arial"/>
                <w:color w:val="FFFFFF"/>
                <w:sz w:val="20"/>
                <w:szCs w:val="20"/>
              </w:rPr>
            </w:pPr>
          </w:p>
        </w:tc>
        <w:tc>
          <w:tcPr>
            <w:tcW w:w="2551" w:type="dxa"/>
            <w:shd w:val="clear" w:color="auto" w:fill="2E77BB"/>
          </w:tcPr>
          <w:p w:rsidR="00D72414" w:rsidRDefault="00D72414">
            <w:pPr>
              <w:spacing w:line="276" w:lineRule="auto"/>
              <w:rPr>
                <w:rFonts w:ascii="Arial" w:eastAsia="Arial" w:hAnsi="Arial" w:cs="Arial"/>
                <w:color w:val="FFFFFF"/>
                <w:sz w:val="20"/>
                <w:szCs w:val="20"/>
              </w:rPr>
            </w:pPr>
          </w:p>
        </w:tc>
        <w:tc>
          <w:tcPr>
            <w:tcW w:w="1134" w:type="dxa"/>
            <w:shd w:val="clear" w:color="auto" w:fill="2E77BB"/>
          </w:tcPr>
          <w:p w:rsidR="00D72414" w:rsidRDefault="00C0362E">
            <w:pPr>
              <w:spacing w:line="276" w:lineRule="auto"/>
              <w:rPr>
                <w:rFonts w:ascii="Arial" w:eastAsia="Arial" w:hAnsi="Arial" w:cs="Arial"/>
                <w:b/>
                <w:color w:val="FFFFFF"/>
                <w:sz w:val="18"/>
                <w:szCs w:val="18"/>
              </w:rPr>
            </w:pPr>
            <w:r>
              <w:rPr>
                <w:rFonts w:ascii="Arial" w:eastAsia="Arial" w:hAnsi="Arial" w:cs="Arial"/>
                <w:b/>
                <w:color w:val="FFFFFF"/>
                <w:sz w:val="18"/>
                <w:szCs w:val="18"/>
              </w:rPr>
              <w:t>Volume Band ID</w:t>
            </w:r>
          </w:p>
        </w:tc>
        <w:tc>
          <w:tcPr>
            <w:tcW w:w="992" w:type="dxa"/>
          </w:tcPr>
          <w:p w:rsidR="00D72414" w:rsidRDefault="00C0362E">
            <w:pPr>
              <w:rPr>
                <w:rFonts w:ascii="Arial" w:eastAsia="Arial" w:hAnsi="Arial" w:cs="Arial"/>
                <w:b/>
                <w:sz w:val="18"/>
                <w:szCs w:val="18"/>
              </w:rPr>
            </w:pPr>
            <w:r>
              <w:rPr>
                <w:rFonts w:ascii="Arial" w:eastAsia="Arial" w:hAnsi="Arial" w:cs="Arial"/>
                <w:b/>
                <w:sz w:val="18"/>
                <w:szCs w:val="18"/>
              </w:rPr>
              <w:t>A</w:t>
            </w:r>
          </w:p>
        </w:tc>
        <w:tc>
          <w:tcPr>
            <w:tcW w:w="993" w:type="dxa"/>
          </w:tcPr>
          <w:p w:rsidR="00D72414" w:rsidRDefault="00C0362E">
            <w:pPr>
              <w:rPr>
                <w:rFonts w:ascii="Arial" w:eastAsia="Arial" w:hAnsi="Arial" w:cs="Arial"/>
                <w:b/>
                <w:sz w:val="18"/>
                <w:szCs w:val="18"/>
              </w:rPr>
            </w:pPr>
            <w:r>
              <w:rPr>
                <w:rFonts w:ascii="Arial" w:eastAsia="Arial" w:hAnsi="Arial" w:cs="Arial"/>
                <w:b/>
                <w:sz w:val="18"/>
                <w:szCs w:val="18"/>
              </w:rPr>
              <w:t>B</w:t>
            </w:r>
          </w:p>
        </w:tc>
        <w:tc>
          <w:tcPr>
            <w:tcW w:w="1275" w:type="dxa"/>
          </w:tcPr>
          <w:p w:rsidR="00D72414" w:rsidRDefault="00C0362E">
            <w:pPr>
              <w:rPr>
                <w:rFonts w:ascii="Arial" w:eastAsia="Arial" w:hAnsi="Arial" w:cs="Arial"/>
                <w:b/>
                <w:sz w:val="18"/>
                <w:szCs w:val="18"/>
              </w:rPr>
            </w:pPr>
            <w:r>
              <w:rPr>
                <w:rFonts w:ascii="Arial" w:eastAsia="Arial" w:hAnsi="Arial" w:cs="Arial"/>
                <w:b/>
                <w:sz w:val="18"/>
                <w:szCs w:val="18"/>
              </w:rPr>
              <w:t>C</w:t>
            </w:r>
          </w:p>
        </w:tc>
        <w:tc>
          <w:tcPr>
            <w:tcW w:w="993" w:type="dxa"/>
          </w:tcPr>
          <w:p w:rsidR="00D72414" w:rsidRDefault="00C0362E">
            <w:pPr>
              <w:rPr>
                <w:rFonts w:ascii="Arial" w:eastAsia="Arial" w:hAnsi="Arial" w:cs="Arial"/>
                <w:b/>
                <w:sz w:val="18"/>
                <w:szCs w:val="18"/>
              </w:rPr>
            </w:pPr>
            <w:r>
              <w:rPr>
                <w:rFonts w:ascii="Arial" w:eastAsia="Arial" w:hAnsi="Arial" w:cs="Arial"/>
                <w:b/>
                <w:sz w:val="18"/>
                <w:szCs w:val="18"/>
              </w:rPr>
              <w:t>D</w:t>
            </w:r>
          </w:p>
        </w:tc>
        <w:tc>
          <w:tcPr>
            <w:tcW w:w="1134" w:type="dxa"/>
          </w:tcPr>
          <w:p w:rsidR="00D72414" w:rsidRDefault="00C0362E">
            <w:pPr>
              <w:rPr>
                <w:rFonts w:ascii="Arial" w:eastAsia="Arial" w:hAnsi="Arial" w:cs="Arial"/>
                <w:b/>
                <w:sz w:val="18"/>
                <w:szCs w:val="18"/>
              </w:rPr>
            </w:pPr>
            <w:r>
              <w:rPr>
                <w:rFonts w:ascii="Arial" w:eastAsia="Arial" w:hAnsi="Arial" w:cs="Arial"/>
                <w:b/>
                <w:sz w:val="18"/>
                <w:szCs w:val="18"/>
              </w:rPr>
              <w:t>E</w:t>
            </w:r>
          </w:p>
        </w:tc>
        <w:tc>
          <w:tcPr>
            <w:tcW w:w="1134" w:type="dxa"/>
          </w:tcPr>
          <w:p w:rsidR="00D72414" w:rsidRDefault="00C0362E">
            <w:pPr>
              <w:rPr>
                <w:rFonts w:ascii="Arial" w:eastAsia="Arial" w:hAnsi="Arial" w:cs="Arial"/>
                <w:b/>
                <w:sz w:val="18"/>
                <w:szCs w:val="18"/>
              </w:rPr>
            </w:pPr>
            <w:r>
              <w:rPr>
                <w:rFonts w:ascii="Arial" w:eastAsia="Arial" w:hAnsi="Arial" w:cs="Arial"/>
                <w:b/>
                <w:sz w:val="18"/>
                <w:szCs w:val="18"/>
              </w:rPr>
              <w:t>F</w:t>
            </w:r>
          </w:p>
        </w:tc>
        <w:tc>
          <w:tcPr>
            <w:tcW w:w="1134" w:type="dxa"/>
          </w:tcPr>
          <w:p w:rsidR="00D72414" w:rsidRDefault="00C0362E">
            <w:pPr>
              <w:rPr>
                <w:rFonts w:ascii="Arial" w:eastAsia="Arial" w:hAnsi="Arial" w:cs="Arial"/>
                <w:b/>
                <w:sz w:val="18"/>
                <w:szCs w:val="18"/>
              </w:rPr>
            </w:pPr>
            <w:r>
              <w:rPr>
                <w:rFonts w:ascii="Arial" w:eastAsia="Arial" w:hAnsi="Arial" w:cs="Arial"/>
                <w:b/>
                <w:sz w:val="18"/>
                <w:szCs w:val="18"/>
              </w:rPr>
              <w:t>G</w:t>
            </w:r>
          </w:p>
        </w:tc>
        <w:tc>
          <w:tcPr>
            <w:tcW w:w="992" w:type="dxa"/>
          </w:tcPr>
          <w:p w:rsidR="00D72414" w:rsidRDefault="00C0362E">
            <w:pPr>
              <w:rPr>
                <w:rFonts w:ascii="Arial" w:eastAsia="Arial" w:hAnsi="Arial" w:cs="Arial"/>
                <w:b/>
                <w:sz w:val="18"/>
                <w:szCs w:val="18"/>
              </w:rPr>
            </w:pPr>
            <w:r>
              <w:rPr>
                <w:rFonts w:ascii="Arial" w:eastAsia="Arial" w:hAnsi="Arial" w:cs="Arial"/>
                <w:b/>
                <w:sz w:val="18"/>
                <w:szCs w:val="18"/>
              </w:rPr>
              <w:t>H</w:t>
            </w:r>
          </w:p>
        </w:tc>
      </w:tr>
      <w:tr w:rsidR="00D72414">
        <w:tc>
          <w:tcPr>
            <w:tcW w:w="1129" w:type="dxa"/>
            <w:shd w:val="clear" w:color="auto" w:fill="2E77BB"/>
          </w:tcPr>
          <w:p w:rsidR="00D72414" w:rsidRDefault="00C0362E">
            <w:pPr>
              <w:spacing w:line="276" w:lineRule="auto"/>
              <w:rPr>
                <w:rFonts w:ascii="Arial" w:eastAsia="Arial" w:hAnsi="Arial" w:cs="Arial"/>
                <w:color w:val="FFFFFF"/>
                <w:sz w:val="18"/>
                <w:szCs w:val="18"/>
              </w:rPr>
            </w:pPr>
            <w:r>
              <w:rPr>
                <w:rFonts w:ascii="Arial" w:eastAsia="Arial" w:hAnsi="Arial" w:cs="Arial"/>
                <w:color w:val="FFFFFF"/>
                <w:sz w:val="18"/>
                <w:szCs w:val="18"/>
              </w:rPr>
              <w:t>Report or Product (Service URN 2.0b)</w:t>
            </w:r>
          </w:p>
        </w:tc>
        <w:tc>
          <w:tcPr>
            <w:tcW w:w="1560" w:type="dxa"/>
            <w:shd w:val="clear" w:color="auto" w:fill="2E77BB"/>
          </w:tcPr>
          <w:p w:rsidR="00D72414" w:rsidRDefault="00C0362E">
            <w:pPr>
              <w:spacing w:line="276" w:lineRule="auto"/>
              <w:rPr>
                <w:rFonts w:ascii="Arial" w:eastAsia="Arial" w:hAnsi="Arial" w:cs="Arial"/>
                <w:color w:val="FFFFFF"/>
                <w:sz w:val="18"/>
                <w:szCs w:val="18"/>
              </w:rPr>
            </w:pPr>
            <w:r>
              <w:rPr>
                <w:rFonts w:ascii="Arial" w:eastAsia="Arial" w:hAnsi="Arial" w:cs="Arial"/>
                <w:color w:val="FFFFFF"/>
                <w:sz w:val="18"/>
                <w:szCs w:val="18"/>
              </w:rPr>
              <w:t>Data URNs Included</w:t>
            </w:r>
          </w:p>
        </w:tc>
        <w:tc>
          <w:tcPr>
            <w:tcW w:w="2551" w:type="dxa"/>
            <w:shd w:val="clear" w:color="auto" w:fill="2E77BB"/>
          </w:tcPr>
          <w:p w:rsidR="00D72414" w:rsidRDefault="00C0362E">
            <w:pPr>
              <w:spacing w:line="276" w:lineRule="auto"/>
              <w:rPr>
                <w:rFonts w:ascii="Arial" w:eastAsia="Arial" w:hAnsi="Arial" w:cs="Arial"/>
                <w:color w:val="FFFFFF"/>
                <w:sz w:val="18"/>
                <w:szCs w:val="18"/>
              </w:rPr>
            </w:pPr>
            <w:r>
              <w:rPr>
                <w:rFonts w:ascii="Arial" w:eastAsia="Arial" w:hAnsi="Arial" w:cs="Arial"/>
                <w:color w:val="FFFFFF"/>
                <w:sz w:val="18"/>
                <w:szCs w:val="18"/>
              </w:rPr>
              <w:t>Summarised Description of Data and Information Requirements</w:t>
            </w:r>
          </w:p>
        </w:tc>
        <w:tc>
          <w:tcPr>
            <w:tcW w:w="1134" w:type="dxa"/>
            <w:shd w:val="clear" w:color="auto" w:fill="2E77BB"/>
          </w:tcPr>
          <w:p w:rsidR="00D72414" w:rsidRDefault="00C0362E">
            <w:pPr>
              <w:spacing w:line="276" w:lineRule="auto"/>
              <w:rPr>
                <w:rFonts w:ascii="Arial" w:eastAsia="Arial" w:hAnsi="Arial" w:cs="Arial"/>
                <w:color w:val="FFFFFF"/>
                <w:sz w:val="18"/>
                <w:szCs w:val="18"/>
              </w:rPr>
            </w:pPr>
            <w:r>
              <w:rPr>
                <w:rFonts w:ascii="Arial" w:eastAsia="Arial" w:hAnsi="Arial" w:cs="Arial"/>
                <w:b/>
                <w:color w:val="FFFFFF"/>
                <w:sz w:val="18"/>
                <w:szCs w:val="18"/>
              </w:rPr>
              <w:t>Single Unit Price (£)</w:t>
            </w:r>
          </w:p>
        </w:tc>
        <w:tc>
          <w:tcPr>
            <w:tcW w:w="992" w:type="dxa"/>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Monthly Volume Band Price </w:t>
            </w:r>
          </w:p>
          <w:p w:rsidR="00D72414" w:rsidRDefault="00C0362E">
            <w:pPr>
              <w:rPr>
                <w:sz w:val="18"/>
                <w:szCs w:val="18"/>
              </w:rPr>
            </w:pPr>
            <w:r>
              <w:rPr>
                <w:rFonts w:ascii="Arial" w:eastAsia="Arial" w:hAnsi="Arial" w:cs="Arial"/>
                <w:b/>
                <w:sz w:val="18"/>
                <w:szCs w:val="18"/>
              </w:rPr>
              <w:t>&lt;1k</w:t>
            </w:r>
          </w:p>
        </w:tc>
        <w:tc>
          <w:tcPr>
            <w:tcW w:w="993" w:type="dxa"/>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Monthly Volume Band Price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lastRenderedPageBreak/>
              <w:t>1k - &lt;10k</w:t>
            </w:r>
          </w:p>
          <w:p w:rsidR="00D72414" w:rsidRDefault="00D72414">
            <w:pPr>
              <w:rPr>
                <w:sz w:val="18"/>
                <w:szCs w:val="18"/>
              </w:rPr>
            </w:pPr>
          </w:p>
        </w:tc>
        <w:tc>
          <w:tcPr>
            <w:tcW w:w="1275" w:type="dxa"/>
          </w:tcPr>
          <w:p w:rsidR="00D72414" w:rsidRDefault="00C0362E">
            <w:pPr>
              <w:spacing w:before="120" w:after="120"/>
              <w:rPr>
                <w:rFonts w:ascii="Arial" w:eastAsia="Arial" w:hAnsi="Arial" w:cs="Arial"/>
                <w:b/>
                <w:sz w:val="18"/>
                <w:szCs w:val="18"/>
              </w:rPr>
            </w:pPr>
            <w:r>
              <w:rPr>
                <w:rFonts w:ascii="Arial" w:eastAsia="Arial" w:hAnsi="Arial" w:cs="Arial"/>
                <w:b/>
                <w:sz w:val="18"/>
                <w:szCs w:val="18"/>
              </w:rPr>
              <w:lastRenderedPageBreak/>
              <w:t>Monthly  Volume Band Price</w:t>
            </w:r>
          </w:p>
          <w:p w:rsidR="00D72414" w:rsidRDefault="00C0362E">
            <w:pPr>
              <w:rPr>
                <w:sz w:val="18"/>
                <w:szCs w:val="18"/>
              </w:rPr>
            </w:pPr>
            <w:r>
              <w:rPr>
                <w:rFonts w:ascii="Arial" w:eastAsia="Arial" w:hAnsi="Arial" w:cs="Arial"/>
                <w:b/>
                <w:sz w:val="18"/>
                <w:szCs w:val="18"/>
              </w:rPr>
              <w:t>10k - 50k</w:t>
            </w:r>
          </w:p>
        </w:tc>
        <w:tc>
          <w:tcPr>
            <w:tcW w:w="993" w:type="dxa"/>
          </w:tcPr>
          <w:p w:rsidR="00D72414" w:rsidRDefault="00C0362E">
            <w:pPr>
              <w:spacing w:before="120" w:after="120"/>
              <w:rPr>
                <w:rFonts w:ascii="Arial" w:eastAsia="Arial" w:hAnsi="Arial" w:cs="Arial"/>
                <w:b/>
                <w:sz w:val="18"/>
                <w:szCs w:val="18"/>
              </w:rPr>
            </w:pPr>
            <w:r>
              <w:rPr>
                <w:rFonts w:ascii="Arial" w:eastAsia="Arial" w:hAnsi="Arial" w:cs="Arial"/>
                <w:b/>
                <w:sz w:val="18"/>
                <w:szCs w:val="18"/>
              </w:rPr>
              <w:t>Monthly  Volume Band Price</w:t>
            </w:r>
          </w:p>
          <w:p w:rsidR="00D72414" w:rsidRDefault="00C0362E">
            <w:pPr>
              <w:rPr>
                <w:sz w:val="18"/>
                <w:szCs w:val="18"/>
              </w:rPr>
            </w:pPr>
            <w:r>
              <w:rPr>
                <w:rFonts w:ascii="Arial" w:eastAsia="Arial" w:hAnsi="Arial" w:cs="Arial"/>
                <w:b/>
                <w:sz w:val="18"/>
                <w:szCs w:val="18"/>
              </w:rPr>
              <w:lastRenderedPageBreak/>
              <w:t>&gt;50k – 100k</w:t>
            </w:r>
          </w:p>
        </w:tc>
        <w:tc>
          <w:tcPr>
            <w:tcW w:w="1134" w:type="dxa"/>
          </w:tcPr>
          <w:p w:rsidR="00D72414" w:rsidRDefault="00C0362E">
            <w:pPr>
              <w:spacing w:before="120" w:after="120"/>
              <w:rPr>
                <w:rFonts w:ascii="Arial" w:eastAsia="Arial" w:hAnsi="Arial" w:cs="Arial"/>
                <w:b/>
                <w:sz w:val="18"/>
                <w:szCs w:val="18"/>
              </w:rPr>
            </w:pPr>
            <w:r>
              <w:rPr>
                <w:rFonts w:ascii="Arial" w:eastAsia="Arial" w:hAnsi="Arial" w:cs="Arial"/>
                <w:b/>
                <w:sz w:val="18"/>
                <w:szCs w:val="18"/>
              </w:rPr>
              <w:lastRenderedPageBreak/>
              <w:t>Monthly  Volume Band Price</w:t>
            </w:r>
          </w:p>
          <w:p w:rsidR="00D72414" w:rsidRDefault="00C0362E">
            <w:pPr>
              <w:rPr>
                <w:sz w:val="18"/>
                <w:szCs w:val="18"/>
              </w:rPr>
            </w:pPr>
            <w:r>
              <w:rPr>
                <w:rFonts w:ascii="Arial" w:eastAsia="Arial" w:hAnsi="Arial" w:cs="Arial"/>
                <w:b/>
                <w:sz w:val="18"/>
                <w:szCs w:val="18"/>
              </w:rPr>
              <w:lastRenderedPageBreak/>
              <w:t>&gt;100k – 500k</w:t>
            </w:r>
          </w:p>
        </w:tc>
        <w:tc>
          <w:tcPr>
            <w:tcW w:w="1134" w:type="dxa"/>
          </w:tcPr>
          <w:p w:rsidR="00D72414" w:rsidRDefault="00C0362E">
            <w:pPr>
              <w:spacing w:before="120" w:after="120"/>
              <w:rPr>
                <w:rFonts w:ascii="Arial" w:eastAsia="Arial" w:hAnsi="Arial" w:cs="Arial"/>
                <w:b/>
                <w:sz w:val="18"/>
                <w:szCs w:val="18"/>
              </w:rPr>
            </w:pPr>
            <w:r>
              <w:rPr>
                <w:rFonts w:ascii="Arial" w:eastAsia="Arial" w:hAnsi="Arial" w:cs="Arial"/>
                <w:b/>
                <w:sz w:val="18"/>
                <w:szCs w:val="18"/>
              </w:rPr>
              <w:lastRenderedPageBreak/>
              <w:t xml:space="preserve">Monthly  Volume </w:t>
            </w:r>
            <w:proofErr w:type="spellStart"/>
            <w:r>
              <w:rPr>
                <w:rFonts w:ascii="Arial" w:eastAsia="Arial" w:hAnsi="Arial" w:cs="Arial"/>
                <w:b/>
                <w:sz w:val="18"/>
                <w:szCs w:val="18"/>
              </w:rPr>
              <w:t>BandPrice</w:t>
            </w:r>
            <w:proofErr w:type="spellEnd"/>
          </w:p>
          <w:p w:rsidR="00D72414" w:rsidRDefault="00C0362E">
            <w:pPr>
              <w:rPr>
                <w:sz w:val="18"/>
                <w:szCs w:val="18"/>
              </w:rPr>
            </w:pPr>
            <w:r>
              <w:rPr>
                <w:rFonts w:ascii="Arial" w:eastAsia="Arial" w:hAnsi="Arial" w:cs="Arial"/>
                <w:b/>
                <w:sz w:val="18"/>
                <w:szCs w:val="18"/>
              </w:rPr>
              <w:t>&gt;500k – 1m</w:t>
            </w:r>
          </w:p>
        </w:tc>
        <w:tc>
          <w:tcPr>
            <w:tcW w:w="1134" w:type="dxa"/>
          </w:tcPr>
          <w:p w:rsidR="00D72414" w:rsidRDefault="00C0362E">
            <w:pPr>
              <w:spacing w:before="120" w:after="120"/>
              <w:rPr>
                <w:rFonts w:ascii="Arial" w:eastAsia="Arial" w:hAnsi="Arial" w:cs="Arial"/>
                <w:b/>
                <w:sz w:val="18"/>
                <w:szCs w:val="18"/>
              </w:rPr>
            </w:pPr>
            <w:r>
              <w:rPr>
                <w:rFonts w:ascii="Arial" w:eastAsia="Arial" w:hAnsi="Arial" w:cs="Arial"/>
                <w:b/>
                <w:sz w:val="18"/>
                <w:szCs w:val="18"/>
              </w:rPr>
              <w:t>Monthly  Volume Band Price</w:t>
            </w:r>
          </w:p>
          <w:p w:rsidR="00D72414" w:rsidRDefault="00C0362E">
            <w:pPr>
              <w:rPr>
                <w:sz w:val="18"/>
                <w:szCs w:val="18"/>
              </w:rPr>
            </w:pPr>
            <w:r>
              <w:rPr>
                <w:rFonts w:ascii="Arial" w:eastAsia="Arial" w:hAnsi="Arial" w:cs="Arial"/>
                <w:b/>
                <w:sz w:val="18"/>
                <w:szCs w:val="18"/>
              </w:rPr>
              <w:lastRenderedPageBreak/>
              <w:t>&gt;1m – 1.5m</w:t>
            </w:r>
          </w:p>
        </w:tc>
        <w:tc>
          <w:tcPr>
            <w:tcW w:w="992" w:type="dxa"/>
          </w:tcPr>
          <w:p w:rsidR="00D72414" w:rsidRDefault="00C0362E">
            <w:pPr>
              <w:spacing w:before="120" w:after="120"/>
              <w:rPr>
                <w:rFonts w:ascii="Arial" w:eastAsia="Arial" w:hAnsi="Arial" w:cs="Arial"/>
                <w:b/>
                <w:sz w:val="18"/>
                <w:szCs w:val="18"/>
              </w:rPr>
            </w:pPr>
            <w:r>
              <w:rPr>
                <w:rFonts w:ascii="Arial" w:eastAsia="Arial" w:hAnsi="Arial" w:cs="Arial"/>
                <w:b/>
                <w:sz w:val="18"/>
                <w:szCs w:val="18"/>
              </w:rPr>
              <w:lastRenderedPageBreak/>
              <w:t>Monthly  Volume Band Price</w:t>
            </w:r>
          </w:p>
          <w:p w:rsidR="00D72414" w:rsidRDefault="00C0362E">
            <w:pPr>
              <w:spacing w:before="120" w:after="120"/>
              <w:rPr>
                <w:rFonts w:ascii="Arial" w:eastAsia="Arial" w:hAnsi="Arial" w:cs="Arial"/>
                <w:b/>
                <w:sz w:val="18"/>
                <w:szCs w:val="18"/>
              </w:rPr>
            </w:pPr>
            <w:r>
              <w:rPr>
                <w:rFonts w:ascii="Arial" w:eastAsia="Arial" w:hAnsi="Arial" w:cs="Arial"/>
                <w:b/>
                <w:sz w:val="18"/>
                <w:szCs w:val="18"/>
              </w:rPr>
              <w:lastRenderedPageBreak/>
              <w:t>&gt;1.5m</w:t>
            </w:r>
          </w:p>
        </w:tc>
      </w:tr>
      <w:tr w:rsidR="00D72414">
        <w:tc>
          <w:tcPr>
            <w:tcW w:w="1129"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lastRenderedPageBreak/>
              <w:t xml:space="preserve">2.0b </w:t>
            </w:r>
            <w:proofErr w:type="spellStart"/>
            <w:r>
              <w:rPr>
                <w:rFonts w:ascii="Arial" w:eastAsia="Arial" w:hAnsi="Arial" w:cs="Arial"/>
                <w:sz w:val="18"/>
                <w:szCs w:val="18"/>
              </w:rPr>
              <w:t>i</w:t>
            </w:r>
            <w:proofErr w:type="spellEnd"/>
          </w:p>
          <w:p w:rsidR="00D72414" w:rsidRDefault="00D72414">
            <w:pPr>
              <w:spacing w:line="276" w:lineRule="auto"/>
              <w:rPr>
                <w:rFonts w:ascii="Arial" w:eastAsia="Arial" w:hAnsi="Arial" w:cs="Arial"/>
                <w:sz w:val="18"/>
                <w:szCs w:val="18"/>
              </w:rPr>
            </w:pPr>
          </w:p>
          <w:p w:rsidR="00D72414" w:rsidRDefault="00C0362E">
            <w:pPr>
              <w:spacing w:line="276" w:lineRule="auto"/>
              <w:rPr>
                <w:rFonts w:ascii="Arial" w:eastAsia="Arial" w:hAnsi="Arial" w:cs="Arial"/>
                <w:sz w:val="18"/>
                <w:szCs w:val="18"/>
              </w:rPr>
            </w:pPr>
            <w:r>
              <w:rPr>
                <w:rFonts w:ascii="Arial" w:eastAsia="Arial" w:hAnsi="Arial" w:cs="Arial"/>
                <w:sz w:val="18"/>
                <w:szCs w:val="18"/>
              </w:rPr>
              <w:t>Contact Details and Financial Health and Risk (a)</w:t>
            </w:r>
          </w:p>
        </w:tc>
        <w:tc>
          <w:tcPr>
            <w:tcW w:w="1560"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A, B, C, D, E, F, G, H, I, J, K, Q, R, S, T, X, Y, Z, AA</w:t>
            </w:r>
          </w:p>
        </w:tc>
        <w:tc>
          <w:tcPr>
            <w:tcW w:w="2551"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Personal Details Confirmation</w:t>
            </w:r>
          </w:p>
          <w:p w:rsidR="00D72414" w:rsidRDefault="00C0362E">
            <w:pPr>
              <w:spacing w:line="276" w:lineRule="auto"/>
              <w:rPr>
                <w:rFonts w:ascii="Arial" w:eastAsia="Arial" w:hAnsi="Arial" w:cs="Arial"/>
                <w:sz w:val="18"/>
                <w:szCs w:val="18"/>
              </w:rPr>
            </w:pPr>
            <w:r>
              <w:rPr>
                <w:rFonts w:ascii="Arial" w:eastAsia="Arial" w:hAnsi="Arial" w:cs="Arial"/>
                <w:sz w:val="18"/>
                <w:szCs w:val="18"/>
              </w:rPr>
              <w:t>Residency Details and Status Information</w:t>
            </w:r>
          </w:p>
          <w:p w:rsidR="00D72414" w:rsidRDefault="00C0362E">
            <w:pPr>
              <w:spacing w:line="276" w:lineRule="auto"/>
              <w:rPr>
                <w:rFonts w:ascii="Arial" w:eastAsia="Arial" w:hAnsi="Arial" w:cs="Arial"/>
                <w:sz w:val="18"/>
                <w:szCs w:val="18"/>
              </w:rPr>
            </w:pPr>
            <w:r>
              <w:rPr>
                <w:rFonts w:ascii="Arial" w:eastAsia="Arial" w:hAnsi="Arial" w:cs="Arial"/>
                <w:sz w:val="18"/>
                <w:szCs w:val="18"/>
              </w:rPr>
              <w:t>Contact Details Information</w:t>
            </w:r>
          </w:p>
          <w:p w:rsidR="00D72414" w:rsidRDefault="00C0362E">
            <w:pPr>
              <w:spacing w:line="276" w:lineRule="auto"/>
              <w:rPr>
                <w:rFonts w:ascii="Arial" w:eastAsia="Arial" w:hAnsi="Arial" w:cs="Arial"/>
                <w:sz w:val="18"/>
                <w:szCs w:val="18"/>
              </w:rPr>
            </w:pPr>
            <w:r>
              <w:rPr>
                <w:rFonts w:ascii="Arial" w:eastAsia="Arial" w:hAnsi="Arial" w:cs="Arial"/>
                <w:sz w:val="18"/>
                <w:szCs w:val="18"/>
              </w:rPr>
              <w:t>Household Composition Information</w:t>
            </w:r>
          </w:p>
          <w:p w:rsidR="00D72414" w:rsidRDefault="00C0362E">
            <w:pPr>
              <w:spacing w:line="276" w:lineRule="auto"/>
              <w:rPr>
                <w:rFonts w:ascii="Arial" w:eastAsia="Arial" w:hAnsi="Arial" w:cs="Arial"/>
                <w:sz w:val="18"/>
                <w:szCs w:val="18"/>
              </w:rPr>
            </w:pPr>
            <w:r>
              <w:rPr>
                <w:rFonts w:ascii="Arial" w:eastAsia="Arial" w:hAnsi="Arial" w:cs="Arial"/>
                <w:sz w:val="18"/>
                <w:szCs w:val="18"/>
              </w:rPr>
              <w:t>Individual Financial Health Information</w:t>
            </w:r>
          </w:p>
          <w:p w:rsidR="00D72414" w:rsidRDefault="00C0362E">
            <w:pPr>
              <w:spacing w:line="276" w:lineRule="auto"/>
              <w:rPr>
                <w:rFonts w:ascii="Arial" w:eastAsia="Arial" w:hAnsi="Arial" w:cs="Arial"/>
                <w:sz w:val="18"/>
                <w:szCs w:val="18"/>
              </w:rPr>
            </w:pPr>
            <w:r>
              <w:rPr>
                <w:rFonts w:ascii="Arial" w:eastAsia="Arial" w:hAnsi="Arial" w:cs="Arial"/>
                <w:sz w:val="18"/>
                <w:szCs w:val="18"/>
              </w:rPr>
              <w:t xml:space="preserve">Indicators of Financial Difficulty Information about Assets, Asset Valuation </w:t>
            </w:r>
          </w:p>
          <w:p w:rsidR="00D72414" w:rsidRDefault="00C0362E">
            <w:pPr>
              <w:spacing w:line="276" w:lineRule="auto"/>
              <w:rPr>
                <w:rFonts w:ascii="Arial" w:eastAsia="Arial" w:hAnsi="Arial" w:cs="Arial"/>
                <w:sz w:val="18"/>
                <w:szCs w:val="18"/>
              </w:rPr>
            </w:pPr>
            <w:r>
              <w:rPr>
                <w:rFonts w:ascii="Arial" w:eastAsia="Arial" w:hAnsi="Arial" w:cs="Arial"/>
                <w:sz w:val="18"/>
                <w:szCs w:val="18"/>
              </w:rPr>
              <w:t xml:space="preserve">Information about Fraud, Indicators of Fraud and Fraud Risk </w:t>
            </w:r>
          </w:p>
          <w:p w:rsidR="00D72414" w:rsidRDefault="00C0362E">
            <w:pPr>
              <w:spacing w:line="276" w:lineRule="auto"/>
              <w:rPr>
                <w:rFonts w:ascii="Arial" w:eastAsia="Arial" w:hAnsi="Arial" w:cs="Arial"/>
                <w:sz w:val="18"/>
                <w:szCs w:val="18"/>
              </w:rPr>
            </w:pPr>
            <w:r>
              <w:rPr>
                <w:rFonts w:ascii="Arial" w:eastAsia="Arial" w:hAnsi="Arial" w:cs="Arial"/>
                <w:sz w:val="18"/>
                <w:szCs w:val="18"/>
              </w:rPr>
              <w:t>Information about Deceased Persons</w:t>
            </w:r>
          </w:p>
          <w:p w:rsidR="00D72414" w:rsidRDefault="00C0362E">
            <w:pPr>
              <w:spacing w:line="276" w:lineRule="auto"/>
              <w:rPr>
                <w:rFonts w:ascii="Arial" w:eastAsia="Arial" w:hAnsi="Arial" w:cs="Arial"/>
                <w:sz w:val="18"/>
                <w:szCs w:val="18"/>
              </w:rPr>
            </w:pPr>
            <w:r>
              <w:rPr>
                <w:rFonts w:ascii="Arial" w:eastAsia="Arial" w:hAnsi="Arial" w:cs="Arial"/>
                <w:sz w:val="18"/>
                <w:szCs w:val="18"/>
              </w:rPr>
              <w:t>Propensity to Pay Score</w:t>
            </w:r>
          </w:p>
        </w:tc>
        <w:tc>
          <w:tcPr>
            <w:tcW w:w="1134" w:type="dxa"/>
          </w:tcPr>
          <w:p w:rsidR="00D72414" w:rsidRDefault="00D72414">
            <w:pPr>
              <w:spacing w:line="276" w:lineRule="auto"/>
              <w:rPr>
                <w:rFonts w:ascii="Arial" w:eastAsia="Arial" w:hAnsi="Arial" w:cs="Arial"/>
                <w:sz w:val="18"/>
                <w:szCs w:val="18"/>
              </w:rPr>
            </w:pPr>
          </w:p>
        </w:tc>
        <w:tc>
          <w:tcPr>
            <w:tcW w:w="992" w:type="dxa"/>
          </w:tcPr>
          <w:p w:rsidR="00D72414" w:rsidRDefault="00D72414">
            <w:pPr>
              <w:rPr>
                <w:sz w:val="18"/>
                <w:szCs w:val="18"/>
              </w:rPr>
            </w:pPr>
          </w:p>
        </w:tc>
        <w:tc>
          <w:tcPr>
            <w:tcW w:w="993" w:type="dxa"/>
          </w:tcPr>
          <w:p w:rsidR="00D72414" w:rsidRDefault="00D72414">
            <w:pPr>
              <w:rPr>
                <w:sz w:val="18"/>
                <w:szCs w:val="18"/>
              </w:rPr>
            </w:pPr>
          </w:p>
        </w:tc>
        <w:tc>
          <w:tcPr>
            <w:tcW w:w="1275" w:type="dxa"/>
          </w:tcPr>
          <w:p w:rsidR="00D72414" w:rsidRDefault="00D72414">
            <w:pPr>
              <w:rPr>
                <w:sz w:val="18"/>
                <w:szCs w:val="18"/>
              </w:rPr>
            </w:pPr>
          </w:p>
        </w:tc>
        <w:tc>
          <w:tcPr>
            <w:tcW w:w="993"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992" w:type="dxa"/>
          </w:tcPr>
          <w:p w:rsidR="00D72414" w:rsidRDefault="00D72414">
            <w:pPr>
              <w:rPr>
                <w:sz w:val="18"/>
                <w:szCs w:val="18"/>
              </w:rPr>
            </w:pPr>
          </w:p>
        </w:tc>
      </w:tr>
      <w:tr w:rsidR="00D72414">
        <w:tc>
          <w:tcPr>
            <w:tcW w:w="1129"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2.0b  ii</w:t>
            </w:r>
          </w:p>
          <w:p w:rsidR="00D72414" w:rsidRDefault="00D72414">
            <w:pPr>
              <w:spacing w:line="276" w:lineRule="auto"/>
              <w:rPr>
                <w:rFonts w:ascii="Arial" w:eastAsia="Arial" w:hAnsi="Arial" w:cs="Arial"/>
                <w:sz w:val="18"/>
                <w:szCs w:val="18"/>
              </w:rPr>
            </w:pPr>
          </w:p>
          <w:p w:rsidR="00D72414" w:rsidRDefault="00C0362E">
            <w:pPr>
              <w:spacing w:line="276" w:lineRule="auto"/>
              <w:rPr>
                <w:rFonts w:ascii="Arial" w:eastAsia="Arial" w:hAnsi="Arial" w:cs="Arial"/>
                <w:sz w:val="18"/>
                <w:szCs w:val="18"/>
              </w:rPr>
            </w:pPr>
            <w:r>
              <w:rPr>
                <w:rFonts w:ascii="Arial" w:eastAsia="Arial" w:hAnsi="Arial" w:cs="Arial"/>
                <w:sz w:val="18"/>
                <w:szCs w:val="18"/>
              </w:rPr>
              <w:t>Contact Details and Financial Health and Risk (b)</w:t>
            </w:r>
          </w:p>
        </w:tc>
        <w:tc>
          <w:tcPr>
            <w:tcW w:w="1560"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A, B, C, D, E, F, G, H, I, J, K, Q, R, X, Y, Z, AA</w:t>
            </w:r>
          </w:p>
        </w:tc>
        <w:tc>
          <w:tcPr>
            <w:tcW w:w="2551"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As bundle 1 minus information about Assets and Asset Valuation</w:t>
            </w:r>
          </w:p>
        </w:tc>
        <w:tc>
          <w:tcPr>
            <w:tcW w:w="1134" w:type="dxa"/>
          </w:tcPr>
          <w:p w:rsidR="00D72414" w:rsidRDefault="00D72414">
            <w:pPr>
              <w:spacing w:line="276" w:lineRule="auto"/>
              <w:rPr>
                <w:rFonts w:ascii="Arial" w:eastAsia="Arial" w:hAnsi="Arial" w:cs="Arial"/>
                <w:sz w:val="18"/>
                <w:szCs w:val="18"/>
              </w:rPr>
            </w:pPr>
          </w:p>
        </w:tc>
        <w:tc>
          <w:tcPr>
            <w:tcW w:w="992" w:type="dxa"/>
          </w:tcPr>
          <w:p w:rsidR="00D72414" w:rsidRDefault="00D72414">
            <w:pPr>
              <w:rPr>
                <w:sz w:val="18"/>
                <w:szCs w:val="18"/>
              </w:rPr>
            </w:pPr>
          </w:p>
        </w:tc>
        <w:tc>
          <w:tcPr>
            <w:tcW w:w="993" w:type="dxa"/>
          </w:tcPr>
          <w:p w:rsidR="00D72414" w:rsidRDefault="00D72414">
            <w:pPr>
              <w:rPr>
                <w:sz w:val="18"/>
                <w:szCs w:val="18"/>
              </w:rPr>
            </w:pPr>
          </w:p>
        </w:tc>
        <w:tc>
          <w:tcPr>
            <w:tcW w:w="1275" w:type="dxa"/>
          </w:tcPr>
          <w:p w:rsidR="00D72414" w:rsidRDefault="00D72414">
            <w:pPr>
              <w:rPr>
                <w:sz w:val="18"/>
                <w:szCs w:val="18"/>
              </w:rPr>
            </w:pPr>
          </w:p>
        </w:tc>
        <w:tc>
          <w:tcPr>
            <w:tcW w:w="993"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992" w:type="dxa"/>
          </w:tcPr>
          <w:p w:rsidR="00D72414" w:rsidRDefault="00D72414">
            <w:pPr>
              <w:rPr>
                <w:sz w:val="18"/>
                <w:szCs w:val="18"/>
              </w:rPr>
            </w:pPr>
          </w:p>
        </w:tc>
      </w:tr>
      <w:tr w:rsidR="00D72414">
        <w:tc>
          <w:tcPr>
            <w:tcW w:w="1129"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2.0b  iii</w:t>
            </w:r>
          </w:p>
          <w:p w:rsidR="00D72414" w:rsidRDefault="00D72414">
            <w:pPr>
              <w:spacing w:line="276" w:lineRule="auto"/>
              <w:rPr>
                <w:rFonts w:ascii="Arial" w:eastAsia="Arial" w:hAnsi="Arial" w:cs="Arial"/>
                <w:sz w:val="18"/>
                <w:szCs w:val="18"/>
              </w:rPr>
            </w:pPr>
          </w:p>
          <w:p w:rsidR="00D72414" w:rsidRDefault="00C0362E">
            <w:pPr>
              <w:spacing w:line="276" w:lineRule="auto"/>
              <w:rPr>
                <w:rFonts w:ascii="Arial" w:eastAsia="Arial" w:hAnsi="Arial" w:cs="Arial"/>
                <w:sz w:val="18"/>
                <w:szCs w:val="18"/>
              </w:rPr>
            </w:pPr>
            <w:r>
              <w:rPr>
                <w:rFonts w:ascii="Arial" w:eastAsia="Arial" w:hAnsi="Arial" w:cs="Arial"/>
                <w:sz w:val="18"/>
                <w:szCs w:val="18"/>
              </w:rPr>
              <w:t>Channel Strategy</w:t>
            </w:r>
          </w:p>
        </w:tc>
        <w:tc>
          <w:tcPr>
            <w:tcW w:w="1560"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M, N</w:t>
            </w:r>
          </w:p>
        </w:tc>
        <w:tc>
          <w:tcPr>
            <w:tcW w:w="2551"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Channel preference and previous channel exposure</w:t>
            </w:r>
          </w:p>
        </w:tc>
        <w:tc>
          <w:tcPr>
            <w:tcW w:w="1134" w:type="dxa"/>
          </w:tcPr>
          <w:p w:rsidR="00D72414" w:rsidRDefault="00D72414">
            <w:pPr>
              <w:spacing w:line="276" w:lineRule="auto"/>
              <w:rPr>
                <w:rFonts w:ascii="Arial" w:eastAsia="Arial" w:hAnsi="Arial" w:cs="Arial"/>
                <w:sz w:val="18"/>
                <w:szCs w:val="18"/>
              </w:rPr>
            </w:pPr>
          </w:p>
        </w:tc>
        <w:tc>
          <w:tcPr>
            <w:tcW w:w="992" w:type="dxa"/>
          </w:tcPr>
          <w:p w:rsidR="00D72414" w:rsidRDefault="00D72414">
            <w:pPr>
              <w:rPr>
                <w:sz w:val="18"/>
                <w:szCs w:val="18"/>
              </w:rPr>
            </w:pPr>
          </w:p>
        </w:tc>
        <w:tc>
          <w:tcPr>
            <w:tcW w:w="993" w:type="dxa"/>
          </w:tcPr>
          <w:p w:rsidR="00D72414" w:rsidRDefault="00D72414">
            <w:pPr>
              <w:rPr>
                <w:sz w:val="18"/>
                <w:szCs w:val="18"/>
              </w:rPr>
            </w:pPr>
          </w:p>
        </w:tc>
        <w:tc>
          <w:tcPr>
            <w:tcW w:w="1275" w:type="dxa"/>
          </w:tcPr>
          <w:p w:rsidR="00D72414" w:rsidRDefault="00D72414">
            <w:pPr>
              <w:rPr>
                <w:sz w:val="18"/>
                <w:szCs w:val="18"/>
              </w:rPr>
            </w:pPr>
          </w:p>
        </w:tc>
        <w:tc>
          <w:tcPr>
            <w:tcW w:w="993"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992" w:type="dxa"/>
          </w:tcPr>
          <w:p w:rsidR="00D72414" w:rsidRDefault="00D72414">
            <w:pPr>
              <w:rPr>
                <w:sz w:val="18"/>
                <w:szCs w:val="18"/>
              </w:rPr>
            </w:pPr>
          </w:p>
        </w:tc>
      </w:tr>
      <w:tr w:rsidR="00D72414">
        <w:tc>
          <w:tcPr>
            <w:tcW w:w="1129"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2.0b iv</w:t>
            </w:r>
          </w:p>
          <w:p w:rsidR="00D72414" w:rsidRDefault="00D72414">
            <w:pPr>
              <w:spacing w:line="276" w:lineRule="auto"/>
              <w:rPr>
                <w:rFonts w:ascii="Arial" w:eastAsia="Arial" w:hAnsi="Arial" w:cs="Arial"/>
                <w:sz w:val="18"/>
                <w:szCs w:val="18"/>
              </w:rPr>
            </w:pPr>
          </w:p>
          <w:p w:rsidR="00D72414" w:rsidRDefault="00C0362E">
            <w:pPr>
              <w:spacing w:line="276" w:lineRule="auto"/>
              <w:rPr>
                <w:rFonts w:ascii="Arial" w:eastAsia="Arial" w:hAnsi="Arial" w:cs="Arial"/>
                <w:sz w:val="18"/>
                <w:szCs w:val="18"/>
              </w:rPr>
            </w:pPr>
            <w:r>
              <w:rPr>
                <w:rFonts w:ascii="Arial" w:eastAsia="Arial" w:hAnsi="Arial" w:cs="Arial"/>
                <w:sz w:val="18"/>
                <w:szCs w:val="18"/>
              </w:rPr>
              <w:lastRenderedPageBreak/>
              <w:t>Socio Economic Research</w:t>
            </w:r>
          </w:p>
        </w:tc>
        <w:tc>
          <w:tcPr>
            <w:tcW w:w="1560"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lastRenderedPageBreak/>
              <w:t>O, P</w:t>
            </w:r>
          </w:p>
        </w:tc>
        <w:tc>
          <w:tcPr>
            <w:tcW w:w="2551"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 xml:space="preserve">Socio-Economic and standard of living / lifestyle analysis </w:t>
            </w:r>
          </w:p>
        </w:tc>
        <w:tc>
          <w:tcPr>
            <w:tcW w:w="1134" w:type="dxa"/>
          </w:tcPr>
          <w:p w:rsidR="00D72414" w:rsidRDefault="00D72414">
            <w:pPr>
              <w:spacing w:line="276" w:lineRule="auto"/>
              <w:rPr>
                <w:rFonts w:ascii="Arial" w:eastAsia="Arial" w:hAnsi="Arial" w:cs="Arial"/>
                <w:sz w:val="18"/>
                <w:szCs w:val="18"/>
              </w:rPr>
            </w:pPr>
          </w:p>
        </w:tc>
        <w:tc>
          <w:tcPr>
            <w:tcW w:w="992" w:type="dxa"/>
          </w:tcPr>
          <w:p w:rsidR="00D72414" w:rsidRDefault="00D72414">
            <w:pPr>
              <w:rPr>
                <w:sz w:val="18"/>
                <w:szCs w:val="18"/>
              </w:rPr>
            </w:pPr>
          </w:p>
        </w:tc>
        <w:tc>
          <w:tcPr>
            <w:tcW w:w="993" w:type="dxa"/>
          </w:tcPr>
          <w:p w:rsidR="00D72414" w:rsidRDefault="00D72414">
            <w:pPr>
              <w:rPr>
                <w:sz w:val="18"/>
                <w:szCs w:val="18"/>
              </w:rPr>
            </w:pPr>
          </w:p>
        </w:tc>
        <w:tc>
          <w:tcPr>
            <w:tcW w:w="1275" w:type="dxa"/>
          </w:tcPr>
          <w:p w:rsidR="00D72414" w:rsidRDefault="00D72414">
            <w:pPr>
              <w:rPr>
                <w:sz w:val="18"/>
                <w:szCs w:val="18"/>
              </w:rPr>
            </w:pPr>
          </w:p>
        </w:tc>
        <w:tc>
          <w:tcPr>
            <w:tcW w:w="993"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992" w:type="dxa"/>
          </w:tcPr>
          <w:p w:rsidR="00D72414" w:rsidRDefault="00D72414">
            <w:pPr>
              <w:rPr>
                <w:sz w:val="18"/>
                <w:szCs w:val="18"/>
              </w:rPr>
            </w:pPr>
          </w:p>
        </w:tc>
      </w:tr>
      <w:tr w:rsidR="00D72414">
        <w:tc>
          <w:tcPr>
            <w:tcW w:w="1129"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2.0b v</w:t>
            </w:r>
          </w:p>
          <w:p w:rsidR="00D72414" w:rsidRDefault="00D72414">
            <w:pPr>
              <w:spacing w:line="276" w:lineRule="auto"/>
              <w:rPr>
                <w:rFonts w:ascii="Arial" w:eastAsia="Arial" w:hAnsi="Arial" w:cs="Arial"/>
                <w:sz w:val="18"/>
                <w:szCs w:val="18"/>
              </w:rPr>
            </w:pPr>
          </w:p>
          <w:p w:rsidR="00D72414" w:rsidRDefault="00C0362E">
            <w:pPr>
              <w:spacing w:line="276" w:lineRule="auto"/>
              <w:rPr>
                <w:rFonts w:ascii="Arial" w:eastAsia="Arial" w:hAnsi="Arial" w:cs="Arial"/>
                <w:sz w:val="18"/>
                <w:szCs w:val="18"/>
              </w:rPr>
            </w:pPr>
            <w:r>
              <w:rPr>
                <w:rFonts w:ascii="Arial" w:eastAsia="Arial" w:hAnsi="Arial" w:cs="Arial"/>
                <w:sz w:val="18"/>
                <w:szCs w:val="18"/>
              </w:rPr>
              <w:t>Business Health and Risk</w:t>
            </w:r>
          </w:p>
        </w:tc>
        <w:tc>
          <w:tcPr>
            <w:tcW w:w="1560"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S, T, U, V, W</w:t>
            </w:r>
          </w:p>
        </w:tc>
        <w:tc>
          <w:tcPr>
            <w:tcW w:w="2551"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Business / Responsible Persons information Assets Information</w:t>
            </w:r>
          </w:p>
          <w:p w:rsidR="00D72414" w:rsidRDefault="00C0362E">
            <w:pPr>
              <w:spacing w:line="276" w:lineRule="auto"/>
              <w:rPr>
                <w:rFonts w:ascii="Arial" w:eastAsia="Arial" w:hAnsi="Arial" w:cs="Arial"/>
                <w:sz w:val="18"/>
                <w:szCs w:val="18"/>
              </w:rPr>
            </w:pPr>
            <w:r>
              <w:rPr>
                <w:rFonts w:ascii="Arial" w:eastAsia="Arial" w:hAnsi="Arial" w:cs="Arial"/>
                <w:sz w:val="18"/>
                <w:szCs w:val="18"/>
              </w:rPr>
              <w:t>Company Financial Health</w:t>
            </w:r>
          </w:p>
          <w:p w:rsidR="00D72414" w:rsidRDefault="00C0362E">
            <w:pPr>
              <w:spacing w:line="276" w:lineRule="auto"/>
              <w:rPr>
                <w:rFonts w:ascii="Arial" w:eastAsia="Arial" w:hAnsi="Arial" w:cs="Arial"/>
                <w:sz w:val="18"/>
                <w:szCs w:val="18"/>
              </w:rPr>
            </w:pPr>
            <w:r>
              <w:rPr>
                <w:rFonts w:ascii="Arial" w:eastAsia="Arial" w:hAnsi="Arial" w:cs="Arial"/>
                <w:sz w:val="18"/>
                <w:szCs w:val="18"/>
              </w:rPr>
              <w:t>Company indicators of risks / financial distress</w:t>
            </w:r>
          </w:p>
        </w:tc>
        <w:tc>
          <w:tcPr>
            <w:tcW w:w="1134" w:type="dxa"/>
          </w:tcPr>
          <w:p w:rsidR="00D72414" w:rsidRDefault="00D72414">
            <w:pPr>
              <w:spacing w:line="276" w:lineRule="auto"/>
              <w:rPr>
                <w:rFonts w:ascii="Arial" w:eastAsia="Arial" w:hAnsi="Arial" w:cs="Arial"/>
                <w:sz w:val="18"/>
                <w:szCs w:val="18"/>
              </w:rPr>
            </w:pPr>
          </w:p>
        </w:tc>
        <w:tc>
          <w:tcPr>
            <w:tcW w:w="992" w:type="dxa"/>
          </w:tcPr>
          <w:p w:rsidR="00D72414" w:rsidRDefault="00D72414">
            <w:pPr>
              <w:rPr>
                <w:sz w:val="18"/>
                <w:szCs w:val="18"/>
              </w:rPr>
            </w:pPr>
          </w:p>
        </w:tc>
        <w:tc>
          <w:tcPr>
            <w:tcW w:w="993" w:type="dxa"/>
          </w:tcPr>
          <w:p w:rsidR="00D72414" w:rsidRDefault="00D72414">
            <w:pPr>
              <w:rPr>
                <w:sz w:val="18"/>
                <w:szCs w:val="18"/>
              </w:rPr>
            </w:pPr>
          </w:p>
        </w:tc>
        <w:tc>
          <w:tcPr>
            <w:tcW w:w="1275" w:type="dxa"/>
          </w:tcPr>
          <w:p w:rsidR="00D72414" w:rsidRDefault="00D72414">
            <w:pPr>
              <w:rPr>
                <w:sz w:val="18"/>
                <w:szCs w:val="18"/>
              </w:rPr>
            </w:pPr>
          </w:p>
        </w:tc>
        <w:tc>
          <w:tcPr>
            <w:tcW w:w="993"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992" w:type="dxa"/>
          </w:tcPr>
          <w:p w:rsidR="00D72414" w:rsidRDefault="00D72414">
            <w:pPr>
              <w:rPr>
                <w:sz w:val="18"/>
                <w:szCs w:val="18"/>
              </w:rPr>
            </w:pPr>
          </w:p>
        </w:tc>
      </w:tr>
      <w:tr w:rsidR="00D72414">
        <w:tc>
          <w:tcPr>
            <w:tcW w:w="1129"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2.0b vi</w:t>
            </w:r>
          </w:p>
          <w:p w:rsidR="00D72414" w:rsidRDefault="00D72414">
            <w:pPr>
              <w:spacing w:line="276" w:lineRule="auto"/>
              <w:rPr>
                <w:rFonts w:ascii="Arial" w:eastAsia="Arial" w:hAnsi="Arial" w:cs="Arial"/>
                <w:sz w:val="18"/>
                <w:szCs w:val="18"/>
              </w:rPr>
            </w:pPr>
          </w:p>
          <w:p w:rsidR="00D72414" w:rsidRDefault="00C0362E">
            <w:pPr>
              <w:spacing w:line="276" w:lineRule="auto"/>
              <w:rPr>
                <w:rFonts w:ascii="Arial" w:eastAsia="Arial" w:hAnsi="Arial" w:cs="Arial"/>
                <w:sz w:val="18"/>
                <w:szCs w:val="18"/>
              </w:rPr>
            </w:pPr>
            <w:r>
              <w:rPr>
                <w:rFonts w:ascii="Arial" w:eastAsia="Arial" w:hAnsi="Arial" w:cs="Arial"/>
                <w:sz w:val="18"/>
                <w:szCs w:val="18"/>
              </w:rPr>
              <w:t>Deceased</w:t>
            </w:r>
          </w:p>
        </w:tc>
        <w:tc>
          <w:tcPr>
            <w:tcW w:w="1560"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X, Y, Z, AA</w:t>
            </w:r>
          </w:p>
        </w:tc>
        <w:tc>
          <w:tcPr>
            <w:tcW w:w="2551"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 xml:space="preserve">Information relating to deceased persons, </w:t>
            </w:r>
          </w:p>
        </w:tc>
        <w:tc>
          <w:tcPr>
            <w:tcW w:w="1134" w:type="dxa"/>
          </w:tcPr>
          <w:p w:rsidR="00D72414" w:rsidRDefault="00D72414">
            <w:pPr>
              <w:spacing w:line="276" w:lineRule="auto"/>
              <w:rPr>
                <w:rFonts w:ascii="Arial" w:eastAsia="Arial" w:hAnsi="Arial" w:cs="Arial"/>
                <w:sz w:val="18"/>
                <w:szCs w:val="18"/>
              </w:rPr>
            </w:pPr>
          </w:p>
        </w:tc>
        <w:tc>
          <w:tcPr>
            <w:tcW w:w="992" w:type="dxa"/>
          </w:tcPr>
          <w:p w:rsidR="00D72414" w:rsidRDefault="00D72414">
            <w:pPr>
              <w:rPr>
                <w:sz w:val="18"/>
                <w:szCs w:val="18"/>
              </w:rPr>
            </w:pPr>
          </w:p>
        </w:tc>
        <w:tc>
          <w:tcPr>
            <w:tcW w:w="993" w:type="dxa"/>
          </w:tcPr>
          <w:p w:rsidR="00D72414" w:rsidRDefault="00D72414">
            <w:pPr>
              <w:rPr>
                <w:sz w:val="18"/>
                <w:szCs w:val="18"/>
              </w:rPr>
            </w:pPr>
          </w:p>
        </w:tc>
        <w:tc>
          <w:tcPr>
            <w:tcW w:w="1275" w:type="dxa"/>
          </w:tcPr>
          <w:p w:rsidR="00D72414" w:rsidRDefault="00D72414">
            <w:pPr>
              <w:rPr>
                <w:sz w:val="18"/>
                <w:szCs w:val="18"/>
              </w:rPr>
            </w:pPr>
          </w:p>
        </w:tc>
        <w:tc>
          <w:tcPr>
            <w:tcW w:w="993"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992" w:type="dxa"/>
          </w:tcPr>
          <w:p w:rsidR="00D72414" w:rsidRDefault="00D72414">
            <w:pPr>
              <w:rPr>
                <w:sz w:val="18"/>
                <w:szCs w:val="18"/>
              </w:rPr>
            </w:pPr>
          </w:p>
        </w:tc>
      </w:tr>
      <w:tr w:rsidR="00D72414">
        <w:tc>
          <w:tcPr>
            <w:tcW w:w="1129"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2.0b vii</w:t>
            </w:r>
          </w:p>
          <w:p w:rsidR="00D72414" w:rsidRDefault="00D72414">
            <w:pPr>
              <w:spacing w:line="276" w:lineRule="auto"/>
              <w:rPr>
                <w:rFonts w:ascii="Arial" w:eastAsia="Arial" w:hAnsi="Arial" w:cs="Arial"/>
                <w:sz w:val="18"/>
                <w:szCs w:val="18"/>
              </w:rPr>
            </w:pPr>
          </w:p>
          <w:p w:rsidR="00D72414" w:rsidRDefault="00C0362E">
            <w:pPr>
              <w:spacing w:line="276" w:lineRule="auto"/>
              <w:rPr>
                <w:rFonts w:ascii="Arial" w:eastAsia="Arial" w:hAnsi="Arial" w:cs="Arial"/>
                <w:sz w:val="18"/>
                <w:szCs w:val="18"/>
              </w:rPr>
            </w:pPr>
            <w:r>
              <w:rPr>
                <w:rFonts w:ascii="Arial" w:eastAsia="Arial" w:hAnsi="Arial" w:cs="Arial"/>
                <w:sz w:val="18"/>
                <w:szCs w:val="18"/>
              </w:rPr>
              <w:t>Individuals Financial Health and Risk</w:t>
            </w:r>
          </w:p>
        </w:tc>
        <w:tc>
          <w:tcPr>
            <w:tcW w:w="1560"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H, I, J, K</w:t>
            </w:r>
          </w:p>
        </w:tc>
        <w:tc>
          <w:tcPr>
            <w:tcW w:w="2551"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Financial Health and Indicators of Financial Distress</w:t>
            </w:r>
          </w:p>
        </w:tc>
        <w:tc>
          <w:tcPr>
            <w:tcW w:w="1134" w:type="dxa"/>
          </w:tcPr>
          <w:p w:rsidR="00D72414" w:rsidRDefault="00D72414">
            <w:pPr>
              <w:spacing w:line="276" w:lineRule="auto"/>
              <w:rPr>
                <w:rFonts w:ascii="Arial" w:eastAsia="Arial" w:hAnsi="Arial" w:cs="Arial"/>
                <w:sz w:val="18"/>
                <w:szCs w:val="18"/>
              </w:rPr>
            </w:pPr>
          </w:p>
        </w:tc>
        <w:tc>
          <w:tcPr>
            <w:tcW w:w="992" w:type="dxa"/>
          </w:tcPr>
          <w:p w:rsidR="00D72414" w:rsidRDefault="00D72414">
            <w:pPr>
              <w:rPr>
                <w:sz w:val="18"/>
                <w:szCs w:val="18"/>
              </w:rPr>
            </w:pPr>
          </w:p>
        </w:tc>
        <w:tc>
          <w:tcPr>
            <w:tcW w:w="993" w:type="dxa"/>
          </w:tcPr>
          <w:p w:rsidR="00D72414" w:rsidRDefault="00D72414">
            <w:pPr>
              <w:rPr>
                <w:sz w:val="18"/>
                <w:szCs w:val="18"/>
              </w:rPr>
            </w:pPr>
          </w:p>
        </w:tc>
        <w:tc>
          <w:tcPr>
            <w:tcW w:w="1275" w:type="dxa"/>
          </w:tcPr>
          <w:p w:rsidR="00D72414" w:rsidRDefault="00D72414">
            <w:pPr>
              <w:rPr>
                <w:sz w:val="18"/>
                <w:szCs w:val="18"/>
              </w:rPr>
            </w:pPr>
          </w:p>
        </w:tc>
        <w:tc>
          <w:tcPr>
            <w:tcW w:w="993"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992" w:type="dxa"/>
          </w:tcPr>
          <w:p w:rsidR="00D72414" w:rsidRDefault="00D72414">
            <w:pPr>
              <w:rPr>
                <w:sz w:val="18"/>
                <w:szCs w:val="18"/>
              </w:rPr>
            </w:pPr>
          </w:p>
        </w:tc>
      </w:tr>
      <w:tr w:rsidR="00D72414">
        <w:tc>
          <w:tcPr>
            <w:tcW w:w="1129"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2.0b viii</w:t>
            </w:r>
          </w:p>
          <w:p w:rsidR="00D72414" w:rsidRDefault="00D72414">
            <w:pPr>
              <w:spacing w:line="276" w:lineRule="auto"/>
              <w:rPr>
                <w:rFonts w:ascii="Arial" w:eastAsia="Arial" w:hAnsi="Arial" w:cs="Arial"/>
                <w:sz w:val="18"/>
                <w:szCs w:val="18"/>
              </w:rPr>
            </w:pPr>
          </w:p>
          <w:p w:rsidR="00D72414" w:rsidRDefault="00C0362E">
            <w:pPr>
              <w:spacing w:line="276" w:lineRule="auto"/>
              <w:rPr>
                <w:rFonts w:ascii="Arial" w:eastAsia="Arial" w:hAnsi="Arial" w:cs="Arial"/>
                <w:sz w:val="18"/>
                <w:szCs w:val="18"/>
              </w:rPr>
            </w:pPr>
            <w:r>
              <w:rPr>
                <w:rFonts w:ascii="Arial" w:eastAsia="Arial" w:hAnsi="Arial" w:cs="Arial"/>
                <w:sz w:val="18"/>
                <w:szCs w:val="18"/>
              </w:rPr>
              <w:t>Contact Details</w:t>
            </w:r>
          </w:p>
        </w:tc>
        <w:tc>
          <w:tcPr>
            <w:tcW w:w="1560"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 xml:space="preserve">A, B, C, D </w:t>
            </w:r>
          </w:p>
        </w:tc>
        <w:tc>
          <w:tcPr>
            <w:tcW w:w="2551"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Personal Details Confirmation</w:t>
            </w:r>
          </w:p>
          <w:p w:rsidR="00D72414" w:rsidRDefault="00C0362E">
            <w:pPr>
              <w:spacing w:line="276" w:lineRule="auto"/>
              <w:rPr>
                <w:rFonts w:ascii="Arial" w:eastAsia="Arial" w:hAnsi="Arial" w:cs="Arial"/>
                <w:sz w:val="18"/>
                <w:szCs w:val="18"/>
              </w:rPr>
            </w:pPr>
            <w:r>
              <w:rPr>
                <w:rFonts w:ascii="Arial" w:eastAsia="Arial" w:hAnsi="Arial" w:cs="Arial"/>
                <w:sz w:val="18"/>
                <w:szCs w:val="18"/>
              </w:rPr>
              <w:t>Residency Details and Status Information</w:t>
            </w:r>
          </w:p>
          <w:p w:rsidR="00D72414" w:rsidRDefault="00C0362E">
            <w:pPr>
              <w:spacing w:line="276" w:lineRule="auto"/>
              <w:rPr>
                <w:rFonts w:ascii="Arial" w:eastAsia="Arial" w:hAnsi="Arial" w:cs="Arial"/>
                <w:sz w:val="18"/>
                <w:szCs w:val="18"/>
              </w:rPr>
            </w:pPr>
            <w:r>
              <w:rPr>
                <w:rFonts w:ascii="Arial" w:eastAsia="Arial" w:hAnsi="Arial" w:cs="Arial"/>
                <w:sz w:val="18"/>
                <w:szCs w:val="18"/>
              </w:rPr>
              <w:t>Contact Details Information</w:t>
            </w:r>
          </w:p>
        </w:tc>
        <w:tc>
          <w:tcPr>
            <w:tcW w:w="1134" w:type="dxa"/>
          </w:tcPr>
          <w:p w:rsidR="00D72414" w:rsidRDefault="00D72414">
            <w:pPr>
              <w:spacing w:line="276" w:lineRule="auto"/>
              <w:rPr>
                <w:rFonts w:ascii="Arial" w:eastAsia="Arial" w:hAnsi="Arial" w:cs="Arial"/>
                <w:sz w:val="18"/>
                <w:szCs w:val="18"/>
              </w:rPr>
            </w:pPr>
          </w:p>
        </w:tc>
        <w:tc>
          <w:tcPr>
            <w:tcW w:w="992" w:type="dxa"/>
          </w:tcPr>
          <w:p w:rsidR="00D72414" w:rsidRDefault="00D72414">
            <w:pPr>
              <w:rPr>
                <w:sz w:val="18"/>
                <w:szCs w:val="18"/>
              </w:rPr>
            </w:pPr>
          </w:p>
        </w:tc>
        <w:tc>
          <w:tcPr>
            <w:tcW w:w="993" w:type="dxa"/>
          </w:tcPr>
          <w:p w:rsidR="00D72414" w:rsidRDefault="00D72414">
            <w:pPr>
              <w:rPr>
                <w:sz w:val="18"/>
                <w:szCs w:val="18"/>
              </w:rPr>
            </w:pPr>
          </w:p>
        </w:tc>
        <w:tc>
          <w:tcPr>
            <w:tcW w:w="1275" w:type="dxa"/>
          </w:tcPr>
          <w:p w:rsidR="00D72414" w:rsidRDefault="00D72414">
            <w:pPr>
              <w:rPr>
                <w:sz w:val="18"/>
                <w:szCs w:val="18"/>
              </w:rPr>
            </w:pPr>
          </w:p>
        </w:tc>
        <w:tc>
          <w:tcPr>
            <w:tcW w:w="993"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992" w:type="dxa"/>
          </w:tcPr>
          <w:p w:rsidR="00D72414" w:rsidRDefault="00D72414">
            <w:pPr>
              <w:rPr>
                <w:sz w:val="18"/>
                <w:szCs w:val="18"/>
              </w:rPr>
            </w:pPr>
          </w:p>
        </w:tc>
      </w:tr>
      <w:tr w:rsidR="00D72414">
        <w:tc>
          <w:tcPr>
            <w:tcW w:w="1129"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2.0b ix</w:t>
            </w:r>
          </w:p>
          <w:p w:rsidR="00D72414" w:rsidRDefault="00D72414">
            <w:pPr>
              <w:spacing w:line="276" w:lineRule="auto"/>
              <w:rPr>
                <w:rFonts w:ascii="Arial" w:eastAsia="Arial" w:hAnsi="Arial" w:cs="Arial"/>
                <w:sz w:val="18"/>
                <w:szCs w:val="18"/>
              </w:rPr>
            </w:pPr>
          </w:p>
          <w:p w:rsidR="00D72414" w:rsidRDefault="00C0362E">
            <w:pPr>
              <w:spacing w:line="276" w:lineRule="auto"/>
              <w:rPr>
                <w:rFonts w:ascii="Arial" w:eastAsia="Arial" w:hAnsi="Arial" w:cs="Arial"/>
                <w:sz w:val="18"/>
                <w:szCs w:val="18"/>
              </w:rPr>
            </w:pPr>
            <w:r>
              <w:rPr>
                <w:rFonts w:ascii="Arial" w:eastAsia="Arial" w:hAnsi="Arial" w:cs="Arial"/>
                <w:sz w:val="18"/>
                <w:szCs w:val="18"/>
              </w:rPr>
              <w:t>Fraud</w:t>
            </w:r>
          </w:p>
        </w:tc>
        <w:tc>
          <w:tcPr>
            <w:tcW w:w="1560"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 xml:space="preserve">Q, R </w:t>
            </w:r>
          </w:p>
        </w:tc>
        <w:tc>
          <w:tcPr>
            <w:tcW w:w="2551"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Fraud Indicators</w:t>
            </w:r>
          </w:p>
          <w:p w:rsidR="00D72414" w:rsidRDefault="00C0362E">
            <w:pPr>
              <w:spacing w:line="276" w:lineRule="auto"/>
              <w:rPr>
                <w:rFonts w:ascii="Arial" w:eastAsia="Arial" w:hAnsi="Arial" w:cs="Arial"/>
                <w:sz w:val="18"/>
                <w:szCs w:val="18"/>
              </w:rPr>
            </w:pPr>
            <w:r>
              <w:rPr>
                <w:rFonts w:ascii="Arial" w:eastAsia="Arial" w:hAnsi="Arial" w:cs="Arial"/>
                <w:sz w:val="18"/>
                <w:szCs w:val="18"/>
              </w:rPr>
              <w:t>Fraud Risk Indicators</w:t>
            </w:r>
          </w:p>
        </w:tc>
        <w:tc>
          <w:tcPr>
            <w:tcW w:w="1134" w:type="dxa"/>
          </w:tcPr>
          <w:p w:rsidR="00D72414" w:rsidRDefault="00D72414">
            <w:pPr>
              <w:spacing w:line="276" w:lineRule="auto"/>
              <w:rPr>
                <w:rFonts w:ascii="Arial" w:eastAsia="Arial" w:hAnsi="Arial" w:cs="Arial"/>
                <w:sz w:val="18"/>
                <w:szCs w:val="18"/>
              </w:rPr>
            </w:pPr>
          </w:p>
        </w:tc>
        <w:tc>
          <w:tcPr>
            <w:tcW w:w="992" w:type="dxa"/>
          </w:tcPr>
          <w:p w:rsidR="00D72414" w:rsidRDefault="00D72414">
            <w:pPr>
              <w:rPr>
                <w:sz w:val="18"/>
                <w:szCs w:val="18"/>
              </w:rPr>
            </w:pPr>
          </w:p>
        </w:tc>
        <w:tc>
          <w:tcPr>
            <w:tcW w:w="993" w:type="dxa"/>
          </w:tcPr>
          <w:p w:rsidR="00D72414" w:rsidRDefault="00D72414">
            <w:pPr>
              <w:rPr>
                <w:sz w:val="18"/>
                <w:szCs w:val="18"/>
              </w:rPr>
            </w:pPr>
          </w:p>
        </w:tc>
        <w:tc>
          <w:tcPr>
            <w:tcW w:w="1275" w:type="dxa"/>
          </w:tcPr>
          <w:p w:rsidR="00D72414" w:rsidRDefault="00D72414">
            <w:pPr>
              <w:rPr>
                <w:sz w:val="18"/>
                <w:szCs w:val="18"/>
              </w:rPr>
            </w:pPr>
          </w:p>
        </w:tc>
        <w:tc>
          <w:tcPr>
            <w:tcW w:w="993"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992" w:type="dxa"/>
          </w:tcPr>
          <w:p w:rsidR="00D72414" w:rsidRDefault="00D72414">
            <w:pPr>
              <w:rPr>
                <w:sz w:val="18"/>
                <w:szCs w:val="18"/>
              </w:rPr>
            </w:pPr>
          </w:p>
        </w:tc>
      </w:tr>
      <w:tr w:rsidR="00D72414">
        <w:tc>
          <w:tcPr>
            <w:tcW w:w="1129"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2.0b x</w:t>
            </w:r>
          </w:p>
          <w:p w:rsidR="00D72414" w:rsidRDefault="00D72414">
            <w:pPr>
              <w:spacing w:line="276" w:lineRule="auto"/>
              <w:rPr>
                <w:rFonts w:ascii="Arial" w:eastAsia="Arial" w:hAnsi="Arial" w:cs="Arial"/>
                <w:sz w:val="18"/>
                <w:szCs w:val="18"/>
              </w:rPr>
            </w:pPr>
          </w:p>
          <w:p w:rsidR="00D72414" w:rsidRDefault="00C0362E">
            <w:pPr>
              <w:spacing w:line="276" w:lineRule="auto"/>
              <w:rPr>
                <w:rFonts w:ascii="Arial" w:eastAsia="Arial" w:hAnsi="Arial" w:cs="Arial"/>
                <w:sz w:val="18"/>
                <w:szCs w:val="18"/>
              </w:rPr>
            </w:pPr>
            <w:r>
              <w:rPr>
                <w:rFonts w:ascii="Arial" w:eastAsia="Arial" w:hAnsi="Arial" w:cs="Arial"/>
                <w:sz w:val="18"/>
                <w:szCs w:val="18"/>
              </w:rPr>
              <w:t>Undeclared Partners</w:t>
            </w:r>
          </w:p>
        </w:tc>
        <w:tc>
          <w:tcPr>
            <w:tcW w:w="1560"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MM, NN, OO, PP, QQ, RR, SS, TT</w:t>
            </w:r>
          </w:p>
        </w:tc>
        <w:tc>
          <w:tcPr>
            <w:tcW w:w="2551" w:type="dxa"/>
          </w:tcPr>
          <w:p w:rsidR="00D72414" w:rsidRDefault="00C0362E">
            <w:pPr>
              <w:spacing w:line="276" w:lineRule="auto"/>
              <w:rPr>
                <w:rFonts w:ascii="Arial" w:eastAsia="Arial" w:hAnsi="Arial" w:cs="Arial"/>
                <w:sz w:val="18"/>
                <w:szCs w:val="18"/>
              </w:rPr>
            </w:pPr>
            <w:r>
              <w:rPr>
                <w:rFonts w:ascii="Arial" w:eastAsia="Arial" w:hAnsi="Arial" w:cs="Arial"/>
                <w:sz w:val="18"/>
                <w:szCs w:val="18"/>
              </w:rPr>
              <w:t>Potential Undeclared Partner Information</w:t>
            </w:r>
          </w:p>
        </w:tc>
        <w:tc>
          <w:tcPr>
            <w:tcW w:w="1134" w:type="dxa"/>
          </w:tcPr>
          <w:p w:rsidR="00D72414" w:rsidRDefault="00D72414">
            <w:pPr>
              <w:spacing w:line="276" w:lineRule="auto"/>
              <w:rPr>
                <w:rFonts w:ascii="Arial" w:eastAsia="Arial" w:hAnsi="Arial" w:cs="Arial"/>
                <w:sz w:val="18"/>
                <w:szCs w:val="18"/>
              </w:rPr>
            </w:pPr>
          </w:p>
        </w:tc>
        <w:tc>
          <w:tcPr>
            <w:tcW w:w="992" w:type="dxa"/>
          </w:tcPr>
          <w:p w:rsidR="00D72414" w:rsidRDefault="00D72414">
            <w:pPr>
              <w:rPr>
                <w:sz w:val="18"/>
                <w:szCs w:val="18"/>
              </w:rPr>
            </w:pPr>
          </w:p>
        </w:tc>
        <w:tc>
          <w:tcPr>
            <w:tcW w:w="993" w:type="dxa"/>
          </w:tcPr>
          <w:p w:rsidR="00D72414" w:rsidRDefault="00D72414">
            <w:pPr>
              <w:rPr>
                <w:sz w:val="18"/>
                <w:szCs w:val="18"/>
              </w:rPr>
            </w:pPr>
          </w:p>
        </w:tc>
        <w:tc>
          <w:tcPr>
            <w:tcW w:w="1275" w:type="dxa"/>
          </w:tcPr>
          <w:p w:rsidR="00D72414" w:rsidRDefault="00D72414">
            <w:pPr>
              <w:rPr>
                <w:sz w:val="18"/>
                <w:szCs w:val="18"/>
              </w:rPr>
            </w:pPr>
          </w:p>
        </w:tc>
        <w:tc>
          <w:tcPr>
            <w:tcW w:w="993"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1134" w:type="dxa"/>
          </w:tcPr>
          <w:p w:rsidR="00D72414" w:rsidRDefault="00D72414">
            <w:pPr>
              <w:rPr>
                <w:sz w:val="18"/>
                <w:szCs w:val="18"/>
              </w:rPr>
            </w:pPr>
          </w:p>
        </w:tc>
        <w:tc>
          <w:tcPr>
            <w:tcW w:w="992" w:type="dxa"/>
          </w:tcPr>
          <w:p w:rsidR="00D72414" w:rsidRDefault="00D72414">
            <w:pPr>
              <w:rPr>
                <w:sz w:val="18"/>
                <w:szCs w:val="18"/>
              </w:rPr>
            </w:pPr>
          </w:p>
        </w:tc>
      </w:tr>
    </w:tbl>
    <w:p w:rsidR="00D72414" w:rsidRDefault="00D72414">
      <w:pPr>
        <w:pBdr>
          <w:top w:val="nil"/>
          <w:left w:val="nil"/>
          <w:bottom w:val="nil"/>
          <w:right w:val="nil"/>
          <w:between w:val="nil"/>
        </w:pBdr>
        <w:ind w:left="720"/>
        <w:rPr>
          <w:rFonts w:ascii="Arial" w:eastAsia="Arial" w:hAnsi="Arial" w:cs="Arial"/>
          <w:b/>
          <w:color w:val="000000"/>
          <w:sz w:val="18"/>
          <w:szCs w:val="18"/>
        </w:rPr>
      </w:pPr>
    </w:p>
    <w:p w:rsidR="00D72414" w:rsidRDefault="00D72414">
      <w:pPr>
        <w:pBdr>
          <w:top w:val="nil"/>
          <w:left w:val="nil"/>
          <w:bottom w:val="nil"/>
          <w:right w:val="nil"/>
          <w:between w:val="nil"/>
        </w:pBdr>
        <w:ind w:left="720"/>
        <w:rPr>
          <w:rFonts w:ascii="Arial" w:eastAsia="Arial" w:hAnsi="Arial" w:cs="Arial"/>
          <w:b/>
          <w:color w:val="000000"/>
          <w:sz w:val="18"/>
          <w:szCs w:val="18"/>
        </w:rPr>
      </w:pPr>
    </w:p>
    <w:p w:rsidR="00D72414" w:rsidRDefault="00D72414">
      <w:pPr>
        <w:pBdr>
          <w:top w:val="nil"/>
          <w:left w:val="nil"/>
          <w:bottom w:val="nil"/>
          <w:right w:val="nil"/>
          <w:between w:val="nil"/>
        </w:pBdr>
        <w:ind w:left="720"/>
        <w:rPr>
          <w:rFonts w:ascii="Arial" w:eastAsia="Arial" w:hAnsi="Arial" w:cs="Arial"/>
          <w:b/>
          <w:color w:val="000000"/>
          <w:sz w:val="18"/>
          <w:szCs w:val="18"/>
        </w:rPr>
      </w:pPr>
    </w:p>
    <w:p w:rsidR="00D72414" w:rsidRDefault="00D72414">
      <w:pPr>
        <w:pBdr>
          <w:top w:val="nil"/>
          <w:left w:val="nil"/>
          <w:bottom w:val="nil"/>
          <w:right w:val="nil"/>
          <w:between w:val="nil"/>
        </w:pBdr>
        <w:ind w:left="720"/>
        <w:rPr>
          <w:rFonts w:ascii="Arial" w:eastAsia="Arial" w:hAnsi="Arial" w:cs="Arial"/>
          <w:b/>
          <w:color w:val="000000"/>
          <w:sz w:val="18"/>
          <w:szCs w:val="18"/>
        </w:rPr>
      </w:pPr>
    </w:p>
    <w:p w:rsidR="00D72414" w:rsidRDefault="00D72414">
      <w:pPr>
        <w:pBdr>
          <w:top w:val="nil"/>
          <w:left w:val="nil"/>
          <w:bottom w:val="nil"/>
          <w:right w:val="nil"/>
          <w:between w:val="nil"/>
        </w:pBdr>
        <w:ind w:left="720"/>
        <w:rPr>
          <w:rFonts w:ascii="Arial" w:eastAsia="Arial" w:hAnsi="Arial" w:cs="Arial"/>
          <w:b/>
          <w:color w:val="000000"/>
          <w:sz w:val="18"/>
          <w:szCs w:val="18"/>
        </w:rPr>
      </w:pPr>
    </w:p>
    <w:p w:rsidR="00D72414" w:rsidRDefault="00D72414">
      <w:pPr>
        <w:pBdr>
          <w:top w:val="nil"/>
          <w:left w:val="nil"/>
          <w:bottom w:val="nil"/>
          <w:right w:val="nil"/>
          <w:between w:val="nil"/>
        </w:pBdr>
        <w:ind w:left="720"/>
        <w:rPr>
          <w:rFonts w:ascii="Arial" w:eastAsia="Arial" w:hAnsi="Arial" w:cs="Arial"/>
          <w:b/>
          <w:color w:val="000000"/>
          <w:sz w:val="18"/>
          <w:szCs w:val="18"/>
        </w:rPr>
      </w:pPr>
    </w:p>
    <w:p w:rsidR="00D72414" w:rsidRDefault="00C0362E">
      <w:pPr>
        <w:pBdr>
          <w:top w:val="nil"/>
          <w:left w:val="nil"/>
          <w:bottom w:val="nil"/>
          <w:right w:val="nil"/>
          <w:between w:val="nil"/>
        </w:pBdr>
        <w:ind w:left="720"/>
        <w:rPr>
          <w:rFonts w:ascii="Arial" w:eastAsia="Arial" w:hAnsi="Arial" w:cs="Arial"/>
          <w:b/>
          <w:color w:val="000000"/>
          <w:sz w:val="18"/>
          <w:szCs w:val="18"/>
        </w:rPr>
      </w:pPr>
      <w:r>
        <w:rPr>
          <w:rFonts w:ascii="Arial" w:eastAsia="Arial" w:hAnsi="Arial" w:cs="Arial"/>
          <w:b/>
          <w:color w:val="000000"/>
          <w:sz w:val="18"/>
          <w:szCs w:val="18"/>
        </w:rPr>
        <w:t>Table 3 URN 2.0b License Based Pricing</w:t>
      </w:r>
    </w:p>
    <w:p w:rsidR="00D72414" w:rsidRDefault="00D72414">
      <w:pPr>
        <w:pBdr>
          <w:top w:val="nil"/>
          <w:left w:val="nil"/>
          <w:bottom w:val="nil"/>
          <w:right w:val="nil"/>
          <w:between w:val="nil"/>
        </w:pBdr>
        <w:ind w:left="720"/>
        <w:rPr>
          <w:rFonts w:ascii="Arial" w:eastAsia="Arial" w:hAnsi="Arial" w:cs="Arial"/>
          <w:b/>
          <w:color w:val="000000"/>
          <w:sz w:val="18"/>
          <w:szCs w:val="18"/>
        </w:rPr>
      </w:pPr>
    </w:p>
    <w:p w:rsidR="00D72414" w:rsidRDefault="00D72414">
      <w:pPr>
        <w:pBdr>
          <w:top w:val="nil"/>
          <w:left w:val="nil"/>
          <w:bottom w:val="nil"/>
          <w:right w:val="nil"/>
          <w:between w:val="nil"/>
        </w:pBdr>
        <w:ind w:left="720"/>
        <w:rPr>
          <w:rFonts w:ascii="Arial" w:eastAsia="Arial" w:hAnsi="Arial" w:cs="Arial"/>
          <w:b/>
          <w:color w:val="000000"/>
          <w:sz w:val="18"/>
          <w:szCs w:val="18"/>
        </w:rPr>
      </w:pPr>
    </w:p>
    <w:tbl>
      <w:tblPr>
        <w:tblStyle w:val="affff3"/>
        <w:tblW w:w="14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5"/>
        <w:gridCol w:w="3668"/>
        <w:gridCol w:w="992"/>
        <w:gridCol w:w="1134"/>
        <w:gridCol w:w="1134"/>
        <w:gridCol w:w="1134"/>
        <w:gridCol w:w="1134"/>
        <w:gridCol w:w="1134"/>
        <w:gridCol w:w="1134"/>
        <w:gridCol w:w="1058"/>
        <w:gridCol w:w="992"/>
      </w:tblGrid>
      <w:tr w:rsidR="00D72414">
        <w:trPr>
          <w:trHeight w:val="104"/>
        </w:trPr>
        <w:tc>
          <w:tcPr>
            <w:tcW w:w="1005" w:type="dxa"/>
            <w:shd w:val="clear" w:color="auto" w:fill="BFBFBF"/>
            <w:vAlign w:val="center"/>
          </w:tcPr>
          <w:p w:rsidR="00D72414" w:rsidRDefault="00C0362E">
            <w:pPr>
              <w:spacing w:before="120" w:after="120"/>
              <w:rPr>
                <w:rFonts w:ascii="Arial" w:eastAsia="Arial" w:hAnsi="Arial" w:cs="Arial"/>
                <w:b/>
                <w:sz w:val="18"/>
                <w:szCs w:val="18"/>
              </w:rPr>
            </w:pPr>
            <w:r>
              <w:rPr>
                <w:rFonts w:ascii="Arial" w:eastAsia="Arial" w:hAnsi="Arial" w:cs="Arial"/>
                <w:b/>
                <w:sz w:val="18"/>
                <w:szCs w:val="18"/>
              </w:rPr>
              <w:t>URN 2.0B Table 3</w:t>
            </w:r>
          </w:p>
        </w:tc>
        <w:tc>
          <w:tcPr>
            <w:tcW w:w="3668" w:type="dxa"/>
            <w:shd w:val="clear" w:color="auto" w:fill="BFBFBF"/>
            <w:vAlign w:val="center"/>
          </w:tcPr>
          <w:p w:rsidR="00D72414" w:rsidRDefault="00C0362E">
            <w:pPr>
              <w:spacing w:before="120" w:after="120"/>
              <w:rPr>
                <w:rFonts w:ascii="Arial" w:eastAsia="Arial" w:hAnsi="Arial" w:cs="Arial"/>
                <w:b/>
                <w:sz w:val="18"/>
                <w:szCs w:val="18"/>
              </w:rPr>
            </w:pPr>
            <w:r>
              <w:rPr>
                <w:rFonts w:ascii="Arial" w:eastAsia="Arial" w:hAnsi="Arial" w:cs="Arial"/>
                <w:b/>
                <w:sz w:val="18"/>
                <w:szCs w:val="18"/>
              </w:rPr>
              <w:t>License Based Pricing</w:t>
            </w: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Volume Band ID</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A</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B</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C</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D</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E</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F</w:t>
            </w:r>
          </w:p>
        </w:tc>
        <w:tc>
          <w:tcPr>
            <w:tcW w:w="1058"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G</w:t>
            </w: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H</w:t>
            </w:r>
          </w:p>
        </w:tc>
      </w:tr>
      <w:tr w:rsidR="00D72414">
        <w:trPr>
          <w:trHeight w:val="104"/>
        </w:trPr>
        <w:tc>
          <w:tcPr>
            <w:tcW w:w="1005" w:type="dxa"/>
            <w:shd w:val="clear" w:color="auto" w:fill="BFBFBF"/>
            <w:vAlign w:val="center"/>
          </w:tcPr>
          <w:p w:rsidR="00D72414" w:rsidRDefault="00C0362E">
            <w:pPr>
              <w:spacing w:before="120" w:after="120"/>
              <w:rPr>
                <w:rFonts w:ascii="Arial" w:eastAsia="Arial" w:hAnsi="Arial" w:cs="Arial"/>
                <w:b/>
                <w:sz w:val="18"/>
                <w:szCs w:val="18"/>
              </w:rPr>
            </w:pPr>
            <w:r>
              <w:rPr>
                <w:rFonts w:ascii="Arial" w:eastAsia="Arial" w:hAnsi="Arial" w:cs="Arial"/>
                <w:b/>
                <w:sz w:val="18"/>
                <w:szCs w:val="18"/>
              </w:rPr>
              <w:t>Service URN 2.0</w:t>
            </w:r>
          </w:p>
          <w:p w:rsidR="00D72414" w:rsidRDefault="00D72414">
            <w:pPr>
              <w:spacing w:before="120" w:after="120"/>
              <w:rPr>
                <w:rFonts w:ascii="Arial" w:eastAsia="Arial" w:hAnsi="Arial" w:cs="Arial"/>
                <w:b/>
                <w:sz w:val="18"/>
                <w:szCs w:val="18"/>
              </w:rPr>
            </w:pPr>
          </w:p>
        </w:tc>
        <w:tc>
          <w:tcPr>
            <w:tcW w:w="3668" w:type="dxa"/>
            <w:shd w:val="clear" w:color="auto" w:fill="BFBFBF"/>
            <w:vAlign w:val="center"/>
          </w:tcPr>
          <w:p w:rsidR="00D72414" w:rsidRDefault="00C0362E">
            <w:pPr>
              <w:spacing w:before="120" w:after="120"/>
              <w:rPr>
                <w:rFonts w:ascii="Arial" w:eastAsia="Arial" w:hAnsi="Arial" w:cs="Arial"/>
                <w:b/>
                <w:sz w:val="18"/>
                <w:szCs w:val="18"/>
              </w:rPr>
            </w:pPr>
            <w:r>
              <w:rPr>
                <w:rFonts w:ascii="Arial" w:eastAsia="Arial" w:hAnsi="Arial" w:cs="Arial"/>
                <w:b/>
                <w:sz w:val="18"/>
                <w:szCs w:val="18"/>
              </w:rPr>
              <w:t>Description</w:t>
            </w:r>
          </w:p>
        </w:tc>
        <w:tc>
          <w:tcPr>
            <w:tcW w:w="992" w:type="dxa"/>
            <w:shd w:val="clear" w:color="auto" w:fill="BFBFBF"/>
          </w:tcPr>
          <w:p w:rsidR="00D72414" w:rsidRDefault="00D72414">
            <w:pPr>
              <w:spacing w:before="120" w:after="120"/>
              <w:rPr>
                <w:rFonts w:ascii="Arial" w:eastAsia="Arial" w:hAnsi="Arial" w:cs="Arial"/>
                <w:b/>
                <w:sz w:val="18"/>
                <w:szCs w:val="18"/>
              </w:rPr>
            </w:pP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Volume Band (number of licences)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&lt;500</w:t>
            </w:r>
          </w:p>
          <w:p w:rsidR="00D72414" w:rsidRDefault="00D72414">
            <w:pPr>
              <w:spacing w:before="120" w:after="120"/>
              <w:rPr>
                <w:rFonts w:ascii="Arial" w:eastAsia="Arial" w:hAnsi="Arial" w:cs="Arial"/>
                <w:b/>
                <w:sz w:val="18"/>
                <w:szCs w:val="18"/>
              </w:rPr>
            </w:pP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Volume Band (number of licences)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501 - 750</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Volume Band   (number of licences)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&gt;751 – 1k</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Volume Band (number of licences)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&gt;1001 – 2k</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Volume Band (number of licences)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&gt;2001 – 3k</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Volume Band (number of licences)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&gt;3001 – 4k</w:t>
            </w:r>
          </w:p>
        </w:tc>
        <w:tc>
          <w:tcPr>
            <w:tcW w:w="1058"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Volume Band (number of licences)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&gt;4001-5k</w:t>
            </w: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Volume Band (number of licences)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&gt;5k</w:t>
            </w:r>
          </w:p>
        </w:tc>
      </w:tr>
      <w:tr w:rsidR="00D72414">
        <w:trPr>
          <w:trHeight w:val="104"/>
        </w:trPr>
        <w:tc>
          <w:tcPr>
            <w:tcW w:w="1005" w:type="dxa"/>
            <w:shd w:val="clear" w:color="auto" w:fill="auto"/>
            <w:vAlign w:val="center"/>
          </w:tcPr>
          <w:p w:rsidR="00D72414" w:rsidRDefault="00D72414">
            <w:pPr>
              <w:spacing w:before="120" w:after="120"/>
              <w:rPr>
                <w:rFonts w:ascii="Arial" w:eastAsia="Arial" w:hAnsi="Arial" w:cs="Arial"/>
                <w:b/>
                <w:sz w:val="18"/>
                <w:szCs w:val="18"/>
              </w:rPr>
            </w:pPr>
          </w:p>
        </w:tc>
        <w:tc>
          <w:tcPr>
            <w:tcW w:w="3668" w:type="dxa"/>
            <w:shd w:val="clear" w:color="auto" w:fill="auto"/>
            <w:vAlign w:val="center"/>
          </w:tcPr>
          <w:p w:rsidR="00D72414" w:rsidRDefault="00C0362E">
            <w:pPr>
              <w:spacing w:before="120" w:after="120"/>
              <w:rPr>
                <w:rFonts w:ascii="Arial" w:eastAsia="Arial" w:hAnsi="Arial" w:cs="Arial"/>
                <w:b/>
                <w:sz w:val="18"/>
                <w:szCs w:val="18"/>
              </w:rPr>
            </w:pPr>
            <w:r>
              <w:rPr>
                <w:rFonts w:ascii="Arial" w:eastAsia="Arial" w:hAnsi="Arial" w:cs="Arial"/>
                <w:b/>
                <w:sz w:val="18"/>
                <w:szCs w:val="18"/>
              </w:rPr>
              <w:t>Monthly Price per License</w:t>
            </w:r>
          </w:p>
        </w:tc>
        <w:tc>
          <w:tcPr>
            <w:tcW w:w="992"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058" w:type="dxa"/>
            <w:shd w:val="clear" w:color="auto" w:fill="auto"/>
          </w:tcPr>
          <w:p w:rsidR="00D72414" w:rsidRDefault="00D72414">
            <w:pPr>
              <w:spacing w:before="120" w:after="120"/>
              <w:rPr>
                <w:rFonts w:ascii="Arial" w:eastAsia="Arial" w:hAnsi="Arial" w:cs="Arial"/>
                <w:b/>
                <w:sz w:val="18"/>
                <w:szCs w:val="18"/>
              </w:rPr>
            </w:pPr>
          </w:p>
        </w:tc>
        <w:tc>
          <w:tcPr>
            <w:tcW w:w="992" w:type="dxa"/>
          </w:tcPr>
          <w:p w:rsidR="00D72414" w:rsidRDefault="00D72414">
            <w:pPr>
              <w:spacing w:before="120" w:after="120"/>
              <w:rPr>
                <w:rFonts w:ascii="Arial" w:eastAsia="Arial" w:hAnsi="Arial" w:cs="Arial"/>
                <w:b/>
                <w:sz w:val="18"/>
                <w:szCs w:val="18"/>
              </w:rPr>
            </w:pPr>
          </w:p>
        </w:tc>
      </w:tr>
      <w:tr w:rsidR="00D72414">
        <w:trPr>
          <w:trHeight w:val="104"/>
        </w:trPr>
        <w:tc>
          <w:tcPr>
            <w:tcW w:w="1005" w:type="dxa"/>
            <w:shd w:val="clear" w:color="auto" w:fill="auto"/>
            <w:vAlign w:val="center"/>
          </w:tcPr>
          <w:p w:rsidR="00D72414" w:rsidRDefault="00D72414">
            <w:pPr>
              <w:spacing w:before="120" w:after="120"/>
              <w:rPr>
                <w:rFonts w:ascii="Arial" w:eastAsia="Arial" w:hAnsi="Arial" w:cs="Arial"/>
                <w:b/>
                <w:sz w:val="18"/>
                <w:szCs w:val="18"/>
              </w:rPr>
            </w:pPr>
          </w:p>
        </w:tc>
        <w:tc>
          <w:tcPr>
            <w:tcW w:w="3668" w:type="dxa"/>
            <w:shd w:val="clear" w:color="auto" w:fill="auto"/>
            <w:vAlign w:val="center"/>
          </w:tcPr>
          <w:p w:rsidR="00D72414" w:rsidRDefault="00C0362E">
            <w:pPr>
              <w:spacing w:before="120" w:after="120"/>
              <w:rPr>
                <w:rFonts w:ascii="Arial" w:eastAsia="Arial" w:hAnsi="Arial" w:cs="Arial"/>
                <w:b/>
                <w:sz w:val="18"/>
                <w:szCs w:val="18"/>
              </w:rPr>
            </w:pPr>
            <w:r>
              <w:rPr>
                <w:rFonts w:ascii="Arial" w:eastAsia="Arial" w:hAnsi="Arial" w:cs="Arial"/>
                <w:b/>
                <w:sz w:val="18"/>
                <w:szCs w:val="18"/>
              </w:rPr>
              <w:t>Guidance</w:t>
            </w:r>
          </w:p>
        </w:tc>
        <w:tc>
          <w:tcPr>
            <w:tcW w:w="992"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C0362E">
            <w:pPr>
              <w:spacing w:before="120" w:after="120"/>
              <w:rPr>
                <w:rFonts w:ascii="Arial" w:eastAsia="Arial" w:hAnsi="Arial" w:cs="Arial"/>
                <w:b/>
                <w:sz w:val="18"/>
                <w:szCs w:val="18"/>
              </w:rPr>
            </w:pPr>
            <w:r>
              <w:rPr>
                <w:rFonts w:ascii="Arial" w:eastAsia="Arial" w:hAnsi="Arial" w:cs="Arial"/>
                <w:b/>
                <w:sz w:val="18"/>
                <w:szCs w:val="18"/>
              </w:rPr>
              <w:t>Must be less than previous band</w:t>
            </w:r>
          </w:p>
        </w:tc>
        <w:tc>
          <w:tcPr>
            <w:tcW w:w="1134" w:type="dxa"/>
            <w:shd w:val="clear" w:color="auto" w:fill="auto"/>
          </w:tcPr>
          <w:p w:rsidR="00D72414" w:rsidRDefault="00C0362E">
            <w:pPr>
              <w:spacing w:before="120" w:after="120"/>
              <w:rPr>
                <w:rFonts w:ascii="Arial" w:eastAsia="Arial" w:hAnsi="Arial" w:cs="Arial"/>
                <w:b/>
                <w:sz w:val="18"/>
                <w:szCs w:val="18"/>
              </w:rPr>
            </w:pPr>
            <w:r>
              <w:rPr>
                <w:rFonts w:ascii="Arial" w:eastAsia="Arial" w:hAnsi="Arial" w:cs="Arial"/>
                <w:b/>
                <w:sz w:val="18"/>
                <w:szCs w:val="18"/>
              </w:rPr>
              <w:t>Must be less than previous band</w:t>
            </w:r>
          </w:p>
        </w:tc>
        <w:tc>
          <w:tcPr>
            <w:tcW w:w="1134" w:type="dxa"/>
            <w:shd w:val="clear" w:color="auto" w:fill="auto"/>
          </w:tcPr>
          <w:p w:rsidR="00D72414" w:rsidRDefault="00C0362E">
            <w:pPr>
              <w:spacing w:before="120" w:after="120"/>
              <w:rPr>
                <w:rFonts w:ascii="Arial" w:eastAsia="Arial" w:hAnsi="Arial" w:cs="Arial"/>
                <w:b/>
                <w:sz w:val="18"/>
                <w:szCs w:val="18"/>
              </w:rPr>
            </w:pPr>
            <w:r>
              <w:rPr>
                <w:rFonts w:ascii="Arial" w:eastAsia="Arial" w:hAnsi="Arial" w:cs="Arial"/>
                <w:b/>
                <w:sz w:val="18"/>
                <w:szCs w:val="18"/>
              </w:rPr>
              <w:t>Must be less than previous band</w:t>
            </w:r>
          </w:p>
        </w:tc>
        <w:tc>
          <w:tcPr>
            <w:tcW w:w="1134" w:type="dxa"/>
            <w:shd w:val="clear" w:color="auto" w:fill="auto"/>
          </w:tcPr>
          <w:p w:rsidR="00D72414" w:rsidRDefault="00C0362E">
            <w:pPr>
              <w:spacing w:before="120" w:after="120"/>
              <w:rPr>
                <w:rFonts w:ascii="Arial" w:eastAsia="Arial" w:hAnsi="Arial" w:cs="Arial"/>
                <w:b/>
                <w:sz w:val="18"/>
                <w:szCs w:val="18"/>
              </w:rPr>
            </w:pPr>
            <w:r>
              <w:rPr>
                <w:rFonts w:ascii="Arial" w:eastAsia="Arial" w:hAnsi="Arial" w:cs="Arial"/>
                <w:b/>
                <w:sz w:val="18"/>
                <w:szCs w:val="18"/>
              </w:rPr>
              <w:t>Must be less than previous band</w:t>
            </w:r>
          </w:p>
        </w:tc>
        <w:tc>
          <w:tcPr>
            <w:tcW w:w="1134" w:type="dxa"/>
            <w:shd w:val="clear" w:color="auto" w:fill="auto"/>
          </w:tcPr>
          <w:p w:rsidR="00D72414" w:rsidRDefault="00C0362E">
            <w:pPr>
              <w:spacing w:before="120" w:after="120"/>
              <w:rPr>
                <w:rFonts w:ascii="Arial" w:eastAsia="Arial" w:hAnsi="Arial" w:cs="Arial"/>
                <w:b/>
                <w:sz w:val="18"/>
                <w:szCs w:val="18"/>
              </w:rPr>
            </w:pPr>
            <w:r>
              <w:rPr>
                <w:rFonts w:ascii="Arial" w:eastAsia="Arial" w:hAnsi="Arial" w:cs="Arial"/>
                <w:b/>
                <w:sz w:val="18"/>
                <w:szCs w:val="18"/>
              </w:rPr>
              <w:t>Must be less than previous band</w:t>
            </w:r>
          </w:p>
        </w:tc>
        <w:tc>
          <w:tcPr>
            <w:tcW w:w="1058" w:type="dxa"/>
            <w:shd w:val="clear" w:color="auto" w:fill="auto"/>
          </w:tcPr>
          <w:p w:rsidR="00D72414" w:rsidRDefault="00C0362E">
            <w:pPr>
              <w:spacing w:before="120" w:after="120"/>
              <w:rPr>
                <w:rFonts w:ascii="Arial" w:eastAsia="Arial" w:hAnsi="Arial" w:cs="Arial"/>
                <w:b/>
                <w:sz w:val="18"/>
                <w:szCs w:val="18"/>
              </w:rPr>
            </w:pPr>
            <w:r>
              <w:rPr>
                <w:rFonts w:ascii="Arial" w:eastAsia="Arial" w:hAnsi="Arial" w:cs="Arial"/>
                <w:b/>
                <w:sz w:val="18"/>
                <w:szCs w:val="18"/>
              </w:rPr>
              <w:t>Must be less than previous band</w:t>
            </w:r>
          </w:p>
        </w:tc>
        <w:tc>
          <w:tcPr>
            <w:tcW w:w="992" w:type="dxa"/>
          </w:tcPr>
          <w:p w:rsidR="00D72414" w:rsidRDefault="00C0362E">
            <w:pPr>
              <w:spacing w:before="120" w:after="120"/>
              <w:rPr>
                <w:rFonts w:ascii="Arial" w:eastAsia="Arial" w:hAnsi="Arial" w:cs="Arial"/>
                <w:b/>
                <w:sz w:val="18"/>
                <w:szCs w:val="18"/>
              </w:rPr>
            </w:pPr>
            <w:r>
              <w:rPr>
                <w:rFonts w:ascii="Arial" w:eastAsia="Arial" w:hAnsi="Arial" w:cs="Arial"/>
                <w:b/>
                <w:sz w:val="18"/>
                <w:szCs w:val="18"/>
              </w:rPr>
              <w:t>Must be less than previous band</w:t>
            </w:r>
          </w:p>
        </w:tc>
      </w:tr>
      <w:tr w:rsidR="00D72414">
        <w:trPr>
          <w:trHeight w:val="104"/>
        </w:trPr>
        <w:tc>
          <w:tcPr>
            <w:tcW w:w="1005" w:type="dxa"/>
            <w:shd w:val="clear" w:color="auto" w:fill="auto"/>
            <w:vAlign w:val="center"/>
          </w:tcPr>
          <w:p w:rsidR="00D72414" w:rsidRDefault="00C0362E">
            <w:pPr>
              <w:spacing w:before="120" w:after="120"/>
              <w:rPr>
                <w:rFonts w:ascii="Arial" w:eastAsia="Arial" w:hAnsi="Arial" w:cs="Arial"/>
                <w:b/>
                <w:sz w:val="18"/>
                <w:szCs w:val="18"/>
              </w:rPr>
            </w:pPr>
            <w:r>
              <w:rPr>
                <w:rFonts w:ascii="Arial" w:eastAsia="Arial" w:hAnsi="Arial" w:cs="Arial"/>
                <w:b/>
                <w:sz w:val="18"/>
                <w:szCs w:val="18"/>
              </w:rPr>
              <w:t>Report Name and Description</w:t>
            </w:r>
          </w:p>
        </w:tc>
        <w:tc>
          <w:tcPr>
            <w:tcW w:w="3668" w:type="dxa"/>
            <w:shd w:val="clear" w:color="auto" w:fill="auto"/>
            <w:vAlign w:val="center"/>
          </w:tcPr>
          <w:p w:rsidR="00D72414" w:rsidRDefault="00C0362E">
            <w:pPr>
              <w:spacing w:before="120" w:after="120"/>
              <w:rPr>
                <w:rFonts w:ascii="Arial" w:eastAsia="Arial" w:hAnsi="Arial" w:cs="Arial"/>
                <w:b/>
                <w:sz w:val="18"/>
                <w:szCs w:val="18"/>
              </w:rPr>
            </w:pPr>
            <w:r>
              <w:rPr>
                <w:rFonts w:ascii="Arial" w:eastAsia="Arial" w:hAnsi="Arial" w:cs="Arial"/>
                <w:b/>
                <w:sz w:val="18"/>
                <w:szCs w:val="18"/>
              </w:rPr>
              <w:t>Supplier to complete details of the report / alert name and description of data / information that it will contain and any volume restrictions per license.</w:t>
            </w:r>
          </w:p>
        </w:tc>
        <w:tc>
          <w:tcPr>
            <w:tcW w:w="992"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058" w:type="dxa"/>
            <w:shd w:val="clear" w:color="auto" w:fill="auto"/>
          </w:tcPr>
          <w:p w:rsidR="00D72414" w:rsidRDefault="00D72414">
            <w:pPr>
              <w:spacing w:before="120" w:after="120"/>
              <w:rPr>
                <w:rFonts w:ascii="Arial" w:eastAsia="Arial" w:hAnsi="Arial" w:cs="Arial"/>
                <w:b/>
                <w:sz w:val="18"/>
                <w:szCs w:val="18"/>
              </w:rPr>
            </w:pPr>
          </w:p>
        </w:tc>
        <w:tc>
          <w:tcPr>
            <w:tcW w:w="992" w:type="dxa"/>
          </w:tcPr>
          <w:p w:rsidR="00D72414" w:rsidRDefault="00D72414">
            <w:pPr>
              <w:spacing w:before="120" w:after="120"/>
              <w:rPr>
                <w:rFonts w:ascii="Arial" w:eastAsia="Arial" w:hAnsi="Arial" w:cs="Arial"/>
                <w:b/>
                <w:sz w:val="18"/>
                <w:szCs w:val="18"/>
              </w:rPr>
            </w:pPr>
          </w:p>
        </w:tc>
      </w:tr>
    </w:tbl>
    <w:p w:rsidR="00D72414" w:rsidRDefault="00D72414">
      <w:pPr>
        <w:pBdr>
          <w:top w:val="nil"/>
          <w:left w:val="nil"/>
          <w:bottom w:val="nil"/>
          <w:right w:val="nil"/>
          <w:between w:val="nil"/>
        </w:pBdr>
        <w:ind w:left="720"/>
        <w:rPr>
          <w:rFonts w:ascii="Arial" w:eastAsia="Arial" w:hAnsi="Arial" w:cs="Arial"/>
          <w:b/>
          <w:color w:val="000000"/>
          <w:sz w:val="20"/>
          <w:szCs w:val="20"/>
        </w:rPr>
      </w:pPr>
    </w:p>
    <w:p w:rsidR="00D72414" w:rsidRDefault="00D72414">
      <w:pPr>
        <w:rPr>
          <w:rFonts w:ascii="Arial" w:eastAsia="Arial" w:hAnsi="Arial" w:cs="Arial"/>
          <w:b/>
          <w:color w:val="000000"/>
          <w:sz w:val="20"/>
          <w:szCs w:val="20"/>
        </w:rPr>
      </w:pPr>
    </w:p>
    <w:p w:rsidR="00D72414" w:rsidRDefault="00D72414">
      <w:pPr>
        <w:rPr>
          <w:rFonts w:ascii="Arial" w:eastAsia="Arial" w:hAnsi="Arial" w:cs="Arial"/>
          <w:b/>
          <w:color w:val="000000"/>
          <w:sz w:val="20"/>
          <w:szCs w:val="20"/>
        </w:rPr>
      </w:pPr>
    </w:p>
    <w:p w:rsidR="00D72414" w:rsidRDefault="00D72414">
      <w:pPr>
        <w:rPr>
          <w:rFonts w:ascii="Arial" w:eastAsia="Arial" w:hAnsi="Arial" w:cs="Arial"/>
          <w:b/>
          <w:color w:val="000000"/>
          <w:sz w:val="20"/>
          <w:szCs w:val="20"/>
        </w:rPr>
      </w:pPr>
    </w:p>
    <w:p w:rsidR="00D72414" w:rsidRDefault="00C0362E">
      <w:pPr>
        <w:rPr>
          <w:rFonts w:ascii="Arial" w:eastAsia="Arial" w:hAnsi="Arial" w:cs="Arial"/>
          <w:b/>
          <w:color w:val="000000"/>
          <w:sz w:val="20"/>
          <w:szCs w:val="20"/>
        </w:rPr>
      </w:pPr>
      <w:r>
        <w:rPr>
          <w:rFonts w:ascii="Arial" w:eastAsia="Arial" w:hAnsi="Arial" w:cs="Arial"/>
          <w:b/>
          <w:color w:val="000000"/>
          <w:sz w:val="20"/>
          <w:szCs w:val="20"/>
        </w:rPr>
        <w:t>Part C - Annex 1</w:t>
      </w:r>
    </w:p>
    <w:p w:rsidR="00D72414" w:rsidRDefault="00D72414">
      <w:pPr>
        <w:rPr>
          <w:rFonts w:ascii="Arial" w:eastAsia="Arial" w:hAnsi="Arial" w:cs="Arial"/>
          <w:b/>
          <w:color w:val="000000"/>
          <w:sz w:val="20"/>
          <w:szCs w:val="20"/>
        </w:rPr>
      </w:pPr>
    </w:p>
    <w:p w:rsidR="00D72414" w:rsidRDefault="00C0362E">
      <w:pPr>
        <w:rPr>
          <w:rFonts w:ascii="Arial" w:eastAsia="Arial" w:hAnsi="Arial" w:cs="Arial"/>
          <w:b/>
          <w:color w:val="000000"/>
          <w:sz w:val="20"/>
          <w:szCs w:val="20"/>
        </w:rPr>
      </w:pPr>
      <w:r>
        <w:rPr>
          <w:rFonts w:ascii="Arial" w:eastAsia="Arial" w:hAnsi="Arial" w:cs="Arial"/>
          <w:b/>
          <w:color w:val="000000"/>
          <w:sz w:val="20"/>
          <w:szCs w:val="20"/>
        </w:rPr>
        <w:t>This Annex shall include the Supplier’s Optional Pricing</w:t>
      </w:r>
    </w:p>
    <w:p w:rsidR="00D72414" w:rsidRDefault="00D72414">
      <w:pPr>
        <w:pBdr>
          <w:top w:val="nil"/>
          <w:left w:val="nil"/>
          <w:bottom w:val="nil"/>
          <w:right w:val="nil"/>
          <w:between w:val="nil"/>
        </w:pBdr>
        <w:ind w:left="720"/>
        <w:rPr>
          <w:rFonts w:ascii="Arial" w:eastAsia="Arial" w:hAnsi="Arial" w:cs="Arial"/>
          <w:b/>
          <w:color w:val="000000"/>
          <w:sz w:val="20"/>
          <w:szCs w:val="20"/>
        </w:rPr>
      </w:pPr>
    </w:p>
    <w:p w:rsidR="00D72414" w:rsidRDefault="00180297" w:rsidP="00180297">
      <w:pPr>
        <w:pBdr>
          <w:top w:val="nil"/>
          <w:left w:val="nil"/>
          <w:bottom w:val="nil"/>
          <w:right w:val="nil"/>
          <w:between w:val="nil"/>
        </w:pBdr>
        <w:ind w:left="720"/>
        <w:jc w:val="center"/>
        <w:rPr>
          <w:rFonts w:ascii="Arial" w:eastAsia="Arial" w:hAnsi="Arial" w:cs="Arial"/>
          <w:b/>
          <w:color w:val="000000"/>
          <w:sz w:val="20"/>
          <w:szCs w:val="20"/>
        </w:rPr>
      </w:pPr>
      <w:r>
        <w:rPr>
          <w:rFonts w:ascii="Arial" w:eastAsia="Arial" w:hAnsi="Arial" w:cs="Arial"/>
          <w:b/>
          <w:color w:val="000000"/>
          <w:sz w:val="20"/>
          <w:szCs w:val="20"/>
        </w:rPr>
        <w:t>See above (Annex 1 Pricing Documents)</w:t>
      </w:r>
    </w:p>
    <w:p w:rsidR="00D72414" w:rsidRDefault="00D72414">
      <w:pPr>
        <w:pBdr>
          <w:top w:val="nil"/>
          <w:left w:val="nil"/>
          <w:bottom w:val="nil"/>
          <w:right w:val="nil"/>
          <w:between w:val="nil"/>
        </w:pBdr>
        <w:ind w:left="720"/>
        <w:rPr>
          <w:rFonts w:ascii="Arial" w:eastAsia="Arial" w:hAnsi="Arial" w:cs="Arial"/>
          <w:b/>
          <w:color w:val="000000"/>
          <w:sz w:val="20"/>
          <w:szCs w:val="20"/>
        </w:rPr>
      </w:pPr>
    </w:p>
    <w:p w:rsidR="00D72414" w:rsidRDefault="00D72414">
      <w:pPr>
        <w:pBdr>
          <w:top w:val="nil"/>
          <w:left w:val="nil"/>
          <w:bottom w:val="nil"/>
          <w:right w:val="nil"/>
          <w:between w:val="nil"/>
        </w:pBdr>
        <w:ind w:left="720"/>
        <w:rPr>
          <w:rFonts w:ascii="Arial" w:eastAsia="Arial" w:hAnsi="Arial" w:cs="Arial"/>
          <w:b/>
          <w:color w:val="000000"/>
          <w:sz w:val="20"/>
          <w:szCs w:val="20"/>
        </w:rPr>
      </w:pPr>
    </w:p>
    <w:p w:rsidR="00D72414" w:rsidRDefault="00D72414">
      <w:pPr>
        <w:pBdr>
          <w:top w:val="nil"/>
          <w:left w:val="nil"/>
          <w:bottom w:val="nil"/>
          <w:right w:val="nil"/>
          <w:between w:val="nil"/>
        </w:pBdr>
        <w:ind w:left="720"/>
        <w:rPr>
          <w:rFonts w:ascii="Arial" w:eastAsia="Arial" w:hAnsi="Arial" w:cs="Arial"/>
          <w:b/>
          <w:color w:val="000000"/>
          <w:sz w:val="20"/>
          <w:szCs w:val="20"/>
        </w:rPr>
      </w:pPr>
    </w:p>
    <w:p w:rsidR="00D72414" w:rsidRDefault="00D72414">
      <w:pPr>
        <w:pBdr>
          <w:top w:val="nil"/>
          <w:left w:val="nil"/>
          <w:bottom w:val="nil"/>
          <w:right w:val="nil"/>
          <w:between w:val="nil"/>
        </w:pBdr>
        <w:ind w:left="720"/>
        <w:rPr>
          <w:rFonts w:ascii="Arial" w:eastAsia="Arial" w:hAnsi="Arial" w:cs="Arial"/>
          <w:b/>
          <w:color w:val="000000"/>
          <w:sz w:val="20"/>
          <w:szCs w:val="20"/>
        </w:rPr>
      </w:pPr>
    </w:p>
    <w:p w:rsidR="00D72414" w:rsidRDefault="00C0362E">
      <w:pPr>
        <w:rPr>
          <w:rFonts w:ascii="Arial" w:eastAsia="Arial" w:hAnsi="Arial" w:cs="Arial"/>
          <w:b/>
          <w:color w:val="000000"/>
          <w:sz w:val="22"/>
          <w:szCs w:val="22"/>
        </w:rPr>
      </w:pPr>
      <w:r>
        <w:rPr>
          <w:rFonts w:ascii="Arial" w:eastAsia="Arial" w:hAnsi="Arial" w:cs="Arial"/>
          <w:b/>
          <w:color w:val="000000"/>
          <w:sz w:val="22"/>
          <w:szCs w:val="22"/>
        </w:rPr>
        <w:t>PART D</w:t>
      </w:r>
    </w:p>
    <w:p w:rsidR="00D72414" w:rsidRDefault="00D72414">
      <w:pPr>
        <w:pBdr>
          <w:top w:val="nil"/>
          <w:left w:val="nil"/>
          <w:bottom w:val="nil"/>
          <w:right w:val="nil"/>
          <w:between w:val="nil"/>
        </w:pBdr>
        <w:ind w:left="720"/>
        <w:rPr>
          <w:rFonts w:ascii="Arial" w:eastAsia="Arial" w:hAnsi="Arial" w:cs="Arial"/>
          <w:b/>
          <w:color w:val="000000"/>
          <w:sz w:val="20"/>
          <w:szCs w:val="20"/>
        </w:rPr>
      </w:pPr>
    </w:p>
    <w:p w:rsidR="00D72414" w:rsidRDefault="00C0362E">
      <w:pPr>
        <w:numPr>
          <w:ilvl w:val="0"/>
          <w:numId w:val="23"/>
        </w:numPr>
        <w:pBdr>
          <w:top w:val="nil"/>
          <w:left w:val="nil"/>
          <w:bottom w:val="nil"/>
          <w:right w:val="nil"/>
          <w:between w:val="nil"/>
        </w:pBdr>
        <w:jc w:val="both"/>
        <w:rPr>
          <w:b/>
          <w:sz w:val="28"/>
          <w:szCs w:val="28"/>
          <w:u w:val="single"/>
        </w:rPr>
      </w:pPr>
      <w:r>
        <w:rPr>
          <w:rFonts w:ascii="Arial" w:eastAsia="Arial" w:hAnsi="Arial" w:cs="Arial"/>
          <w:b/>
          <w:color w:val="000000"/>
          <w:sz w:val="22"/>
          <w:szCs w:val="22"/>
          <w:u w:val="single"/>
        </w:rPr>
        <w:t xml:space="preserve">Part D: (URN 3.0) Affordability Assessment and Monitoring </w:t>
      </w:r>
    </w:p>
    <w:p w:rsidR="00D72414" w:rsidRDefault="00C0362E">
      <w:pPr>
        <w:pBdr>
          <w:top w:val="nil"/>
          <w:left w:val="nil"/>
          <w:bottom w:val="nil"/>
          <w:right w:val="nil"/>
          <w:between w:val="nil"/>
        </w:pBdr>
        <w:ind w:left="794"/>
        <w:jc w:val="both"/>
        <w:rPr>
          <w:b/>
        </w:rPr>
      </w:pPr>
      <w:r>
        <w:rPr>
          <w:b/>
        </w:rPr>
        <w:t xml:space="preserve"> </w:t>
      </w:r>
    </w:p>
    <w:p w:rsidR="00D72414" w:rsidRDefault="00C0362E">
      <w:pPr>
        <w:numPr>
          <w:ilvl w:val="1"/>
          <w:numId w:val="23"/>
        </w:numPr>
        <w:pBdr>
          <w:top w:val="nil"/>
          <w:left w:val="nil"/>
          <w:bottom w:val="nil"/>
          <w:right w:val="nil"/>
          <w:between w:val="nil"/>
        </w:pBdr>
        <w:jc w:val="both"/>
        <w:rPr>
          <w:b/>
        </w:rPr>
      </w:pPr>
      <w:r>
        <w:rPr>
          <w:rFonts w:ascii="Arial" w:eastAsia="Arial" w:hAnsi="Arial" w:cs="Arial"/>
          <w:sz w:val="20"/>
          <w:szCs w:val="20"/>
        </w:rPr>
        <w:t>The elements of the Charges for this Service are:</w:t>
      </w:r>
    </w:p>
    <w:p w:rsidR="00D72414" w:rsidRDefault="00C0362E">
      <w:pPr>
        <w:numPr>
          <w:ilvl w:val="2"/>
          <w:numId w:val="23"/>
        </w:numPr>
        <w:pBdr>
          <w:top w:val="nil"/>
          <w:left w:val="nil"/>
          <w:bottom w:val="nil"/>
          <w:right w:val="nil"/>
          <w:between w:val="nil"/>
        </w:pBdr>
        <w:spacing w:before="240"/>
        <w:ind w:left="1276"/>
        <w:jc w:val="both"/>
        <w:rPr>
          <w:rFonts w:ascii="Arial" w:eastAsia="Arial" w:hAnsi="Arial" w:cs="Arial"/>
          <w:sz w:val="20"/>
          <w:szCs w:val="20"/>
        </w:rPr>
      </w:pPr>
      <w:r>
        <w:rPr>
          <w:rFonts w:ascii="Arial" w:eastAsia="Arial" w:hAnsi="Arial" w:cs="Arial"/>
          <w:sz w:val="20"/>
          <w:szCs w:val="20"/>
        </w:rPr>
        <w:t>Set-Up Costs – a one-off payment to cover Buyer specific costs of establishing the Service as agreed with the Buyer</w:t>
      </w:r>
    </w:p>
    <w:p w:rsidR="00D72414" w:rsidRDefault="00C0362E">
      <w:pPr>
        <w:numPr>
          <w:ilvl w:val="2"/>
          <w:numId w:val="23"/>
        </w:numPr>
        <w:pBdr>
          <w:top w:val="nil"/>
          <w:left w:val="nil"/>
          <w:bottom w:val="nil"/>
          <w:right w:val="nil"/>
          <w:between w:val="nil"/>
        </w:pBdr>
        <w:spacing w:before="240"/>
        <w:ind w:left="1276"/>
        <w:jc w:val="both"/>
        <w:rPr>
          <w:rFonts w:ascii="Arial" w:eastAsia="Arial" w:hAnsi="Arial" w:cs="Arial"/>
          <w:sz w:val="20"/>
          <w:szCs w:val="20"/>
        </w:rPr>
      </w:pPr>
      <w:r>
        <w:rPr>
          <w:rFonts w:ascii="Arial" w:eastAsia="Arial" w:hAnsi="Arial" w:cs="Arial"/>
          <w:sz w:val="20"/>
          <w:szCs w:val="20"/>
        </w:rPr>
        <w:t>Click Fees – Monthly usage fees based on Buyer’s usage of the Services</w:t>
      </w:r>
    </w:p>
    <w:p w:rsidR="00D72414" w:rsidRDefault="00C0362E">
      <w:pPr>
        <w:numPr>
          <w:ilvl w:val="2"/>
          <w:numId w:val="23"/>
        </w:numPr>
        <w:pBdr>
          <w:top w:val="nil"/>
          <w:left w:val="nil"/>
          <w:bottom w:val="nil"/>
          <w:right w:val="nil"/>
          <w:between w:val="nil"/>
        </w:pBdr>
        <w:spacing w:before="240"/>
        <w:ind w:left="1276"/>
        <w:jc w:val="both"/>
        <w:rPr>
          <w:rFonts w:ascii="Arial" w:eastAsia="Arial" w:hAnsi="Arial" w:cs="Arial"/>
          <w:sz w:val="20"/>
          <w:szCs w:val="20"/>
        </w:rPr>
      </w:pPr>
      <w:r>
        <w:rPr>
          <w:rFonts w:ascii="Arial" w:eastAsia="Arial" w:hAnsi="Arial" w:cs="Arial"/>
          <w:sz w:val="20"/>
          <w:szCs w:val="20"/>
        </w:rPr>
        <w:t xml:space="preserve">Service Fees – Monthly Service Charges for support activities </w:t>
      </w:r>
    </w:p>
    <w:p w:rsidR="00D72414" w:rsidRDefault="00C0362E">
      <w:pPr>
        <w:numPr>
          <w:ilvl w:val="1"/>
          <w:numId w:val="23"/>
        </w:numPr>
        <w:pBdr>
          <w:top w:val="nil"/>
          <w:left w:val="nil"/>
          <w:bottom w:val="nil"/>
          <w:right w:val="nil"/>
          <w:between w:val="nil"/>
        </w:pBdr>
        <w:spacing w:before="240"/>
        <w:jc w:val="both"/>
      </w:pPr>
      <w:r>
        <w:rPr>
          <w:rFonts w:ascii="Arial" w:eastAsia="Arial" w:hAnsi="Arial" w:cs="Arial"/>
          <w:color w:val="000000"/>
          <w:sz w:val="20"/>
          <w:szCs w:val="20"/>
        </w:rPr>
        <w:t>The Charges for this Service shall be categorised as a Click Fees. The Charges for Click Fees shall be calculated as follows:</w:t>
      </w:r>
    </w:p>
    <w:p w:rsidR="00D72414" w:rsidRDefault="00C0362E">
      <w:pPr>
        <w:keepNext/>
        <w:pBdr>
          <w:top w:val="nil"/>
          <w:left w:val="nil"/>
          <w:bottom w:val="nil"/>
          <w:right w:val="nil"/>
          <w:between w:val="nil"/>
        </w:pBdr>
        <w:spacing w:before="240"/>
        <w:ind w:left="1440" w:hanging="794"/>
        <w:jc w:val="both"/>
        <w:rPr>
          <w:rFonts w:ascii="Arial" w:eastAsia="Arial" w:hAnsi="Arial" w:cs="Arial"/>
          <w:b/>
          <w:color w:val="000000"/>
          <w:sz w:val="20"/>
          <w:szCs w:val="20"/>
        </w:rPr>
      </w:pPr>
      <w:r>
        <w:rPr>
          <w:rFonts w:ascii="Arial" w:eastAsia="Arial" w:hAnsi="Arial" w:cs="Arial"/>
          <w:b/>
          <w:color w:val="000000"/>
          <w:sz w:val="20"/>
          <w:szCs w:val="20"/>
        </w:rPr>
        <w:t>c = (d * Units Ordered) + e</w:t>
      </w:r>
    </w:p>
    <w:p w:rsidR="00D72414" w:rsidRDefault="00C0362E">
      <w:pPr>
        <w:keepNext/>
        <w:pBdr>
          <w:top w:val="nil"/>
          <w:left w:val="nil"/>
          <w:bottom w:val="nil"/>
          <w:right w:val="nil"/>
          <w:between w:val="nil"/>
        </w:pBdr>
        <w:spacing w:before="240"/>
        <w:ind w:left="1440" w:hanging="794"/>
        <w:jc w:val="both"/>
        <w:rPr>
          <w:rFonts w:ascii="Arial" w:eastAsia="Arial" w:hAnsi="Arial" w:cs="Arial"/>
          <w:color w:val="000000"/>
          <w:sz w:val="20"/>
          <w:szCs w:val="20"/>
        </w:rPr>
      </w:pPr>
      <w:r>
        <w:rPr>
          <w:rFonts w:ascii="Arial" w:eastAsia="Arial" w:hAnsi="Arial" w:cs="Arial"/>
          <w:color w:val="000000"/>
          <w:sz w:val="20"/>
          <w:szCs w:val="20"/>
        </w:rPr>
        <w:t>Where:</w:t>
      </w:r>
    </w:p>
    <w:p w:rsidR="00D72414" w:rsidRDefault="00C0362E">
      <w:pPr>
        <w:keepNext/>
        <w:pBdr>
          <w:top w:val="nil"/>
          <w:left w:val="nil"/>
          <w:bottom w:val="nil"/>
          <w:right w:val="nil"/>
          <w:between w:val="nil"/>
        </w:pBdr>
        <w:spacing w:before="240"/>
        <w:ind w:left="1440" w:hanging="794"/>
        <w:jc w:val="both"/>
        <w:rPr>
          <w:rFonts w:ascii="Arial" w:eastAsia="Arial" w:hAnsi="Arial" w:cs="Arial"/>
          <w:color w:val="000000"/>
          <w:sz w:val="20"/>
          <w:szCs w:val="20"/>
        </w:rPr>
      </w:pPr>
      <w:r>
        <w:rPr>
          <w:rFonts w:ascii="Arial" w:eastAsia="Arial" w:hAnsi="Arial" w:cs="Arial"/>
          <w:b/>
          <w:color w:val="000000"/>
          <w:sz w:val="20"/>
          <w:szCs w:val="20"/>
        </w:rPr>
        <w:t>c</w:t>
      </w:r>
      <w:r>
        <w:rPr>
          <w:rFonts w:ascii="Arial" w:eastAsia="Arial" w:hAnsi="Arial" w:cs="Arial"/>
          <w:color w:val="000000"/>
          <w:sz w:val="20"/>
          <w:szCs w:val="20"/>
        </w:rPr>
        <w:t xml:space="preserve"> = </w:t>
      </w:r>
      <w:r>
        <w:rPr>
          <w:rFonts w:ascii="Arial" w:eastAsia="Arial" w:hAnsi="Arial" w:cs="Arial"/>
          <w:color w:val="000000"/>
          <w:sz w:val="20"/>
          <w:szCs w:val="20"/>
        </w:rPr>
        <w:tab/>
      </w:r>
      <w:r>
        <w:rPr>
          <w:rFonts w:ascii="Arial" w:eastAsia="Arial" w:hAnsi="Arial" w:cs="Arial"/>
          <w:color w:val="000000"/>
          <w:sz w:val="20"/>
          <w:szCs w:val="20"/>
        </w:rPr>
        <w:tab/>
        <w:t>the Monthly Charges payable in respect of the relevant Click Fees.</w:t>
      </w:r>
    </w:p>
    <w:p w:rsidR="00D72414" w:rsidRDefault="00C0362E">
      <w:pPr>
        <w:keepNext/>
        <w:pBdr>
          <w:top w:val="nil"/>
          <w:left w:val="nil"/>
          <w:bottom w:val="nil"/>
          <w:right w:val="nil"/>
          <w:between w:val="nil"/>
        </w:pBdr>
        <w:spacing w:before="240"/>
        <w:ind w:left="1440" w:hanging="794"/>
        <w:jc w:val="both"/>
        <w:rPr>
          <w:rFonts w:ascii="Arial" w:eastAsia="Arial" w:hAnsi="Arial" w:cs="Arial"/>
          <w:color w:val="000000"/>
          <w:sz w:val="20"/>
          <w:szCs w:val="20"/>
        </w:rPr>
      </w:pPr>
      <w:r>
        <w:rPr>
          <w:rFonts w:ascii="Arial" w:eastAsia="Arial" w:hAnsi="Arial" w:cs="Arial"/>
          <w:b/>
          <w:color w:val="000000"/>
          <w:sz w:val="20"/>
          <w:szCs w:val="20"/>
        </w:rPr>
        <w:t xml:space="preserve">d </w:t>
      </w:r>
      <w:r>
        <w:rPr>
          <w:rFonts w:ascii="Arial" w:eastAsia="Arial" w:hAnsi="Arial" w:cs="Arial"/>
          <w:color w:val="000000"/>
          <w:sz w:val="20"/>
          <w:szCs w:val="20"/>
        </w:rPr>
        <w:t xml:space="preserve">= </w:t>
      </w:r>
      <w:r>
        <w:rPr>
          <w:rFonts w:ascii="Arial" w:eastAsia="Arial" w:hAnsi="Arial" w:cs="Arial"/>
          <w:color w:val="000000"/>
          <w:sz w:val="20"/>
          <w:szCs w:val="20"/>
        </w:rPr>
        <w:tab/>
      </w:r>
      <w:r>
        <w:rPr>
          <w:rFonts w:ascii="Arial" w:eastAsia="Arial" w:hAnsi="Arial" w:cs="Arial"/>
          <w:color w:val="000000"/>
          <w:sz w:val="20"/>
          <w:szCs w:val="20"/>
        </w:rPr>
        <w:tab/>
        <w:t>the Click Fee identified against each activity in URN 3.0a Table 1</w:t>
      </w:r>
    </w:p>
    <w:p w:rsidR="00D72414" w:rsidRDefault="00C0362E">
      <w:pPr>
        <w:keepNext/>
        <w:pBdr>
          <w:top w:val="nil"/>
          <w:left w:val="nil"/>
          <w:bottom w:val="nil"/>
          <w:right w:val="nil"/>
          <w:between w:val="nil"/>
        </w:pBdr>
        <w:spacing w:before="240"/>
        <w:ind w:left="1440" w:hanging="794"/>
        <w:jc w:val="both"/>
        <w:rPr>
          <w:rFonts w:ascii="Arial" w:eastAsia="Arial" w:hAnsi="Arial" w:cs="Arial"/>
          <w:color w:val="000000"/>
          <w:sz w:val="20"/>
          <w:szCs w:val="20"/>
        </w:rPr>
      </w:pPr>
      <w:r>
        <w:rPr>
          <w:rFonts w:ascii="Arial" w:eastAsia="Arial" w:hAnsi="Arial" w:cs="Arial"/>
          <w:b/>
          <w:color w:val="000000"/>
          <w:sz w:val="20"/>
          <w:szCs w:val="20"/>
        </w:rPr>
        <w:t xml:space="preserve">e </w:t>
      </w:r>
      <w:r>
        <w:rPr>
          <w:rFonts w:ascii="Arial" w:eastAsia="Arial" w:hAnsi="Arial" w:cs="Arial"/>
          <w:color w:val="000000"/>
          <w:sz w:val="20"/>
          <w:szCs w:val="20"/>
        </w:rPr>
        <w:t xml:space="preserve">= </w:t>
      </w:r>
      <w:r>
        <w:rPr>
          <w:rFonts w:ascii="Arial" w:eastAsia="Arial" w:hAnsi="Arial" w:cs="Arial"/>
          <w:color w:val="000000"/>
          <w:sz w:val="20"/>
          <w:szCs w:val="20"/>
        </w:rPr>
        <w:tab/>
      </w:r>
      <w:r>
        <w:rPr>
          <w:rFonts w:ascii="Arial" w:eastAsia="Arial" w:hAnsi="Arial" w:cs="Arial"/>
          <w:color w:val="000000"/>
          <w:sz w:val="20"/>
          <w:szCs w:val="20"/>
        </w:rPr>
        <w:tab/>
        <w:t>the Monthly fee against the Support activity in URN 3.0a Table 1</w:t>
      </w:r>
    </w:p>
    <w:p w:rsidR="00D72414" w:rsidRDefault="00C0362E">
      <w:pPr>
        <w:keepNext/>
        <w:pBdr>
          <w:top w:val="nil"/>
          <w:left w:val="nil"/>
          <w:bottom w:val="nil"/>
          <w:right w:val="nil"/>
          <w:between w:val="nil"/>
        </w:pBdr>
        <w:spacing w:before="240"/>
        <w:ind w:left="2160" w:hanging="1514"/>
        <w:jc w:val="both"/>
        <w:rPr>
          <w:rFonts w:ascii="Arial" w:eastAsia="Arial" w:hAnsi="Arial" w:cs="Arial"/>
          <w:color w:val="000000"/>
          <w:sz w:val="20"/>
          <w:szCs w:val="20"/>
        </w:rPr>
      </w:pPr>
      <w:r>
        <w:rPr>
          <w:rFonts w:ascii="Arial" w:eastAsia="Arial" w:hAnsi="Arial" w:cs="Arial"/>
          <w:b/>
          <w:color w:val="000000"/>
          <w:sz w:val="20"/>
          <w:szCs w:val="20"/>
        </w:rPr>
        <w:t>Units Ordered</w:t>
      </w:r>
      <w:r>
        <w:rPr>
          <w:rFonts w:ascii="Arial" w:eastAsia="Arial" w:hAnsi="Arial" w:cs="Arial"/>
          <w:color w:val="000000"/>
          <w:sz w:val="20"/>
          <w:szCs w:val="20"/>
        </w:rPr>
        <w:t xml:space="preserve"> = the number individual Clicks by the Buyer</w:t>
      </w:r>
    </w:p>
    <w:p w:rsidR="00D72414" w:rsidRDefault="00C0362E">
      <w:pPr>
        <w:numPr>
          <w:ilvl w:val="1"/>
          <w:numId w:val="23"/>
        </w:num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color w:val="000000"/>
          <w:sz w:val="20"/>
          <w:szCs w:val="20"/>
        </w:rPr>
        <w:t>Unless otherwise agreed in writing with the Buyer, the Support Fees and Click Fees are all-inclusive and encompasses all amounts required to be paid in respect of the Affordability Assessment and Monitoring Service.</w:t>
      </w:r>
    </w:p>
    <w:p w:rsidR="00D72414" w:rsidRDefault="00C0362E">
      <w:pPr>
        <w:numPr>
          <w:ilvl w:val="1"/>
          <w:numId w:val="23"/>
        </w:numPr>
        <w:pBdr>
          <w:top w:val="nil"/>
          <w:left w:val="nil"/>
          <w:bottom w:val="nil"/>
          <w:right w:val="nil"/>
          <w:between w:val="nil"/>
        </w:pBdr>
        <w:spacing w:before="240"/>
        <w:jc w:val="both"/>
      </w:pPr>
      <w:r>
        <w:rPr>
          <w:rFonts w:ascii="Arial" w:eastAsia="Arial" w:hAnsi="Arial" w:cs="Arial"/>
          <w:color w:val="000000"/>
          <w:sz w:val="20"/>
          <w:szCs w:val="20"/>
        </w:rPr>
        <w:t xml:space="preserve">The Click Fee is set according to each Service or bundle of Services Ordered under URN 3.0a. Respective Click Fee for Services (including where these are bundled) is set out under URN 3.0 Table 1 below. </w:t>
      </w:r>
    </w:p>
    <w:p w:rsidR="00D72414" w:rsidRDefault="00C0362E">
      <w:pPr>
        <w:numPr>
          <w:ilvl w:val="1"/>
          <w:numId w:val="23"/>
        </w:numPr>
        <w:pBdr>
          <w:top w:val="nil"/>
          <w:left w:val="nil"/>
          <w:bottom w:val="nil"/>
          <w:right w:val="nil"/>
          <w:between w:val="nil"/>
        </w:pBdr>
        <w:spacing w:before="240"/>
        <w:jc w:val="both"/>
      </w:pPr>
      <w:r>
        <w:rPr>
          <w:rFonts w:ascii="Arial" w:eastAsia="Arial" w:hAnsi="Arial" w:cs="Arial"/>
          <w:color w:val="000000"/>
          <w:sz w:val="20"/>
          <w:szCs w:val="20"/>
        </w:rPr>
        <w:t xml:space="preserve">The Unit Price will be charged according to the monthly volume banding for Services ordered under URN 3.0 set within the URN 3.0 Tables 1 and 2 below and payable Monthly by the Customer. </w:t>
      </w:r>
      <w:r>
        <w:t xml:space="preserve"> </w:t>
      </w:r>
    </w:p>
    <w:p w:rsidR="00D72414" w:rsidRDefault="00C0362E">
      <w:pPr>
        <w:numPr>
          <w:ilvl w:val="1"/>
          <w:numId w:val="23"/>
        </w:numPr>
        <w:pBdr>
          <w:top w:val="nil"/>
          <w:left w:val="nil"/>
          <w:bottom w:val="nil"/>
          <w:right w:val="nil"/>
          <w:between w:val="nil"/>
        </w:pBdr>
        <w:spacing w:before="240"/>
        <w:jc w:val="both"/>
      </w:pPr>
      <w:r>
        <w:rPr>
          <w:rFonts w:ascii="Arial" w:eastAsia="Arial" w:hAnsi="Arial" w:cs="Arial"/>
          <w:sz w:val="20"/>
          <w:szCs w:val="20"/>
        </w:rPr>
        <w:lastRenderedPageBreak/>
        <w:t>The Set-Up Cost shall only be charged once each Buyer has Ordered the Service and shall be on an Open Book Costs basis. Set-Up Costs shall only cover new requirements, development and configuration costs. Suppliers shall not charge Buyers a Set-Up Cost for the use of any existing infrastructure or capability that existed prior to the Framework Start Date or the Call-Off Start Date.</w:t>
      </w:r>
    </w:p>
    <w:p w:rsidR="00D72414" w:rsidRDefault="00C0362E">
      <w:pPr>
        <w:numPr>
          <w:ilvl w:val="1"/>
          <w:numId w:val="23"/>
        </w:numPr>
        <w:pBdr>
          <w:top w:val="nil"/>
          <w:left w:val="nil"/>
          <w:bottom w:val="nil"/>
          <w:right w:val="nil"/>
          <w:between w:val="nil"/>
        </w:pBdr>
        <w:spacing w:before="240"/>
        <w:jc w:val="both"/>
      </w:pPr>
      <w:r>
        <w:rPr>
          <w:rFonts w:ascii="Arial" w:eastAsia="Arial" w:hAnsi="Arial" w:cs="Arial"/>
          <w:sz w:val="20"/>
          <w:szCs w:val="20"/>
        </w:rPr>
        <w:t xml:space="preserve">The Charges will be on an Open Book Basis and the Supplier shall demonstrate how any cost reduction from not providing the full Service at URN3.0 has been </w:t>
      </w:r>
      <w:proofErr w:type="gramStart"/>
      <w:r>
        <w:rPr>
          <w:rFonts w:ascii="Arial" w:eastAsia="Arial" w:hAnsi="Arial" w:cs="Arial"/>
          <w:sz w:val="20"/>
          <w:szCs w:val="20"/>
        </w:rPr>
        <w:t>taken into account</w:t>
      </w:r>
      <w:proofErr w:type="gramEnd"/>
      <w:r>
        <w:rPr>
          <w:rFonts w:ascii="Arial" w:eastAsia="Arial" w:hAnsi="Arial" w:cs="Arial"/>
          <w:sz w:val="20"/>
          <w:szCs w:val="20"/>
        </w:rPr>
        <w:t xml:space="preserve"> when pricing this Service for Buyers.</w:t>
      </w:r>
    </w:p>
    <w:p w:rsidR="00D72414" w:rsidRDefault="00C0362E">
      <w:pPr>
        <w:pBdr>
          <w:top w:val="nil"/>
          <w:left w:val="nil"/>
          <w:bottom w:val="nil"/>
          <w:right w:val="nil"/>
          <w:between w:val="nil"/>
        </w:pBdr>
        <w:spacing w:before="240"/>
        <w:ind w:left="794"/>
        <w:jc w:val="both"/>
        <w:rPr>
          <w:b/>
        </w:rPr>
      </w:pPr>
      <w:r>
        <w:rPr>
          <w:rFonts w:ascii="Arial" w:eastAsia="Arial" w:hAnsi="Arial" w:cs="Arial"/>
          <w:b/>
          <w:sz w:val="20"/>
          <w:szCs w:val="20"/>
        </w:rPr>
        <w:t>URN 3.0a Table 1</w:t>
      </w:r>
    </w:p>
    <w:p w:rsidR="00D72414" w:rsidRDefault="00C0362E">
      <w:pPr>
        <w:pBdr>
          <w:top w:val="nil"/>
          <w:left w:val="nil"/>
          <w:bottom w:val="nil"/>
          <w:right w:val="nil"/>
          <w:between w:val="nil"/>
        </w:pBdr>
        <w:ind w:left="794"/>
        <w:jc w:val="both"/>
        <w:rPr>
          <w:b/>
        </w:rPr>
      </w:pPr>
      <w:r>
        <w:rPr>
          <w:rFonts w:ascii="Arial" w:eastAsia="Arial" w:hAnsi="Arial" w:cs="Arial"/>
          <w:b/>
          <w:color w:val="000000"/>
          <w:sz w:val="20"/>
          <w:szCs w:val="20"/>
        </w:rPr>
        <w:t xml:space="preserve"> </w:t>
      </w:r>
    </w:p>
    <w:p w:rsidR="00D72414" w:rsidRDefault="00D72414">
      <w:pPr>
        <w:pBdr>
          <w:top w:val="nil"/>
          <w:left w:val="nil"/>
          <w:bottom w:val="nil"/>
          <w:right w:val="nil"/>
          <w:between w:val="nil"/>
        </w:pBdr>
        <w:ind w:left="794"/>
        <w:jc w:val="both"/>
        <w:rPr>
          <w:rFonts w:ascii="Arial" w:eastAsia="Arial" w:hAnsi="Arial" w:cs="Arial"/>
          <w:b/>
          <w:color w:val="FF0000"/>
          <w:sz w:val="22"/>
          <w:szCs w:val="22"/>
        </w:rPr>
      </w:pPr>
    </w:p>
    <w:tbl>
      <w:tblPr>
        <w:tblStyle w:val="affff4"/>
        <w:tblW w:w="14326" w:type="dxa"/>
        <w:tblInd w:w="79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4628"/>
        <w:gridCol w:w="1347"/>
        <w:gridCol w:w="1347"/>
        <w:gridCol w:w="1616"/>
        <w:gridCol w:w="1751"/>
        <w:gridCol w:w="1885"/>
        <w:gridCol w:w="1752"/>
      </w:tblGrid>
      <w:tr w:rsidR="00D72414">
        <w:trPr>
          <w:trHeight w:val="473"/>
        </w:trPr>
        <w:tc>
          <w:tcPr>
            <w:tcW w:w="4628" w:type="dxa"/>
          </w:tcPr>
          <w:p w:rsidR="00D72414" w:rsidRDefault="00C0362E">
            <w:pPr>
              <w:jc w:val="both"/>
              <w:rPr>
                <w:rFonts w:ascii="Arial" w:eastAsia="Arial" w:hAnsi="Arial" w:cs="Arial"/>
                <w:b/>
                <w:sz w:val="20"/>
                <w:szCs w:val="20"/>
              </w:rPr>
            </w:pPr>
            <w:r>
              <w:rPr>
                <w:rFonts w:ascii="Arial" w:eastAsia="Arial" w:hAnsi="Arial" w:cs="Arial"/>
                <w:b/>
                <w:sz w:val="20"/>
                <w:szCs w:val="20"/>
              </w:rPr>
              <w:t>Activity Category</w:t>
            </w:r>
          </w:p>
        </w:tc>
        <w:tc>
          <w:tcPr>
            <w:tcW w:w="1347" w:type="dxa"/>
          </w:tcPr>
          <w:p w:rsidR="00D72414" w:rsidRDefault="00C0362E">
            <w:pPr>
              <w:jc w:val="both"/>
              <w:rPr>
                <w:rFonts w:ascii="Arial" w:eastAsia="Arial" w:hAnsi="Arial" w:cs="Arial"/>
                <w:b/>
                <w:sz w:val="20"/>
                <w:szCs w:val="20"/>
              </w:rPr>
            </w:pPr>
            <w:r>
              <w:rPr>
                <w:rFonts w:ascii="Arial" w:eastAsia="Arial" w:hAnsi="Arial" w:cs="Arial"/>
                <w:b/>
                <w:sz w:val="20"/>
                <w:szCs w:val="20"/>
              </w:rPr>
              <w:t>Guidance</w:t>
            </w:r>
          </w:p>
        </w:tc>
        <w:tc>
          <w:tcPr>
            <w:tcW w:w="1347" w:type="dxa"/>
          </w:tcPr>
          <w:p w:rsidR="00D72414" w:rsidRDefault="00C0362E">
            <w:pPr>
              <w:jc w:val="both"/>
              <w:rPr>
                <w:rFonts w:ascii="Arial" w:eastAsia="Arial" w:hAnsi="Arial" w:cs="Arial"/>
                <w:b/>
                <w:sz w:val="20"/>
                <w:szCs w:val="20"/>
              </w:rPr>
            </w:pPr>
            <w:r>
              <w:rPr>
                <w:rFonts w:ascii="Arial" w:eastAsia="Arial" w:hAnsi="Arial" w:cs="Arial"/>
                <w:b/>
                <w:sz w:val="20"/>
                <w:szCs w:val="20"/>
              </w:rPr>
              <w:t>Monthly Fee</w:t>
            </w:r>
          </w:p>
        </w:tc>
        <w:tc>
          <w:tcPr>
            <w:tcW w:w="7004" w:type="dxa"/>
            <w:gridSpan w:val="4"/>
          </w:tcPr>
          <w:p w:rsidR="00D72414" w:rsidRDefault="00C0362E">
            <w:pPr>
              <w:jc w:val="both"/>
              <w:rPr>
                <w:rFonts w:ascii="Arial" w:eastAsia="Arial" w:hAnsi="Arial" w:cs="Arial"/>
                <w:b/>
                <w:sz w:val="20"/>
                <w:szCs w:val="20"/>
              </w:rPr>
            </w:pPr>
            <w:r>
              <w:rPr>
                <w:rFonts w:ascii="Arial" w:eastAsia="Arial" w:hAnsi="Arial" w:cs="Arial"/>
                <w:b/>
                <w:sz w:val="20"/>
                <w:szCs w:val="20"/>
              </w:rPr>
              <w:t>Click Fee Per Account</w:t>
            </w:r>
          </w:p>
          <w:p w:rsidR="00D72414" w:rsidRDefault="00C0362E">
            <w:pPr>
              <w:jc w:val="both"/>
              <w:rPr>
                <w:rFonts w:ascii="Arial" w:eastAsia="Arial" w:hAnsi="Arial" w:cs="Arial"/>
                <w:b/>
                <w:sz w:val="20"/>
                <w:szCs w:val="20"/>
              </w:rPr>
            </w:pPr>
            <w:r>
              <w:rPr>
                <w:rFonts w:ascii="Arial" w:eastAsia="Arial" w:hAnsi="Arial" w:cs="Arial"/>
                <w:b/>
                <w:sz w:val="20"/>
                <w:szCs w:val="20"/>
              </w:rPr>
              <w:t xml:space="preserve">Monthly Volume Band </w:t>
            </w:r>
          </w:p>
        </w:tc>
      </w:tr>
      <w:tr w:rsidR="00D72414">
        <w:trPr>
          <w:trHeight w:val="236"/>
        </w:trPr>
        <w:tc>
          <w:tcPr>
            <w:tcW w:w="4628" w:type="dxa"/>
            <w:shd w:val="clear" w:color="auto" w:fill="595959"/>
          </w:tcPr>
          <w:p w:rsidR="00D72414" w:rsidRDefault="00D72414">
            <w:pPr>
              <w:jc w:val="both"/>
              <w:rPr>
                <w:rFonts w:ascii="Arial" w:eastAsia="Arial" w:hAnsi="Arial" w:cs="Arial"/>
                <w:b/>
                <w:sz w:val="20"/>
                <w:szCs w:val="20"/>
              </w:rPr>
            </w:pPr>
          </w:p>
        </w:tc>
        <w:tc>
          <w:tcPr>
            <w:tcW w:w="1347" w:type="dxa"/>
            <w:shd w:val="clear" w:color="auto" w:fill="595959"/>
          </w:tcPr>
          <w:p w:rsidR="00D72414" w:rsidRDefault="00D72414">
            <w:pPr>
              <w:jc w:val="both"/>
              <w:rPr>
                <w:rFonts w:ascii="Arial" w:eastAsia="Arial" w:hAnsi="Arial" w:cs="Arial"/>
                <w:b/>
                <w:sz w:val="20"/>
                <w:szCs w:val="20"/>
              </w:rPr>
            </w:pPr>
          </w:p>
        </w:tc>
        <w:tc>
          <w:tcPr>
            <w:tcW w:w="1347" w:type="dxa"/>
            <w:shd w:val="clear" w:color="auto" w:fill="595959"/>
          </w:tcPr>
          <w:p w:rsidR="00D72414" w:rsidRDefault="00D72414">
            <w:pPr>
              <w:jc w:val="both"/>
              <w:rPr>
                <w:rFonts w:ascii="Arial" w:eastAsia="Arial" w:hAnsi="Arial" w:cs="Arial"/>
                <w:b/>
                <w:sz w:val="20"/>
                <w:szCs w:val="20"/>
              </w:rPr>
            </w:pPr>
          </w:p>
        </w:tc>
        <w:tc>
          <w:tcPr>
            <w:tcW w:w="1616" w:type="dxa"/>
          </w:tcPr>
          <w:p w:rsidR="00D72414" w:rsidRDefault="00C0362E">
            <w:pPr>
              <w:jc w:val="both"/>
              <w:rPr>
                <w:rFonts w:ascii="Arial" w:eastAsia="Arial" w:hAnsi="Arial" w:cs="Arial"/>
                <w:b/>
                <w:sz w:val="20"/>
                <w:szCs w:val="20"/>
              </w:rPr>
            </w:pPr>
            <w:r>
              <w:rPr>
                <w:rFonts w:ascii="Arial" w:eastAsia="Arial" w:hAnsi="Arial" w:cs="Arial"/>
                <w:b/>
                <w:sz w:val="20"/>
                <w:szCs w:val="20"/>
              </w:rPr>
              <w:t>1-499</w:t>
            </w:r>
          </w:p>
        </w:tc>
        <w:tc>
          <w:tcPr>
            <w:tcW w:w="1751" w:type="dxa"/>
          </w:tcPr>
          <w:p w:rsidR="00D72414" w:rsidRDefault="00C0362E">
            <w:pPr>
              <w:jc w:val="both"/>
              <w:rPr>
                <w:rFonts w:ascii="Arial" w:eastAsia="Arial" w:hAnsi="Arial" w:cs="Arial"/>
                <w:b/>
                <w:sz w:val="20"/>
                <w:szCs w:val="20"/>
              </w:rPr>
            </w:pPr>
            <w:r>
              <w:rPr>
                <w:rFonts w:ascii="Arial" w:eastAsia="Arial" w:hAnsi="Arial" w:cs="Arial"/>
                <w:b/>
                <w:sz w:val="20"/>
                <w:szCs w:val="20"/>
              </w:rPr>
              <w:t>500&lt;1k</w:t>
            </w:r>
          </w:p>
        </w:tc>
        <w:tc>
          <w:tcPr>
            <w:tcW w:w="1885" w:type="dxa"/>
          </w:tcPr>
          <w:p w:rsidR="00D72414" w:rsidRDefault="00C0362E">
            <w:pPr>
              <w:jc w:val="both"/>
              <w:rPr>
                <w:rFonts w:ascii="Arial" w:eastAsia="Arial" w:hAnsi="Arial" w:cs="Arial"/>
                <w:b/>
                <w:sz w:val="20"/>
                <w:szCs w:val="20"/>
              </w:rPr>
            </w:pPr>
            <w:r>
              <w:rPr>
                <w:rFonts w:ascii="Arial" w:eastAsia="Arial" w:hAnsi="Arial" w:cs="Arial"/>
                <w:b/>
                <w:sz w:val="20"/>
                <w:szCs w:val="20"/>
              </w:rPr>
              <w:t>&gt;1k – 1.5k</w:t>
            </w:r>
          </w:p>
        </w:tc>
        <w:tc>
          <w:tcPr>
            <w:tcW w:w="1752" w:type="dxa"/>
          </w:tcPr>
          <w:p w:rsidR="00D72414" w:rsidRDefault="00C0362E">
            <w:pPr>
              <w:jc w:val="both"/>
              <w:rPr>
                <w:rFonts w:ascii="Arial" w:eastAsia="Arial" w:hAnsi="Arial" w:cs="Arial"/>
                <w:b/>
                <w:sz w:val="20"/>
                <w:szCs w:val="20"/>
              </w:rPr>
            </w:pPr>
            <w:r>
              <w:rPr>
                <w:rFonts w:ascii="Arial" w:eastAsia="Arial" w:hAnsi="Arial" w:cs="Arial"/>
                <w:b/>
                <w:sz w:val="20"/>
                <w:szCs w:val="20"/>
              </w:rPr>
              <w:t>&gt;1.5k</w:t>
            </w:r>
          </w:p>
        </w:tc>
      </w:tr>
      <w:tr w:rsidR="00D72414">
        <w:trPr>
          <w:trHeight w:val="709"/>
        </w:trPr>
        <w:tc>
          <w:tcPr>
            <w:tcW w:w="4628" w:type="dxa"/>
          </w:tcPr>
          <w:p w:rsidR="00D72414" w:rsidRDefault="00D72414">
            <w:pPr>
              <w:jc w:val="both"/>
              <w:rPr>
                <w:rFonts w:ascii="Arial" w:eastAsia="Arial" w:hAnsi="Arial" w:cs="Arial"/>
                <w:b/>
                <w:sz w:val="20"/>
                <w:szCs w:val="20"/>
              </w:rPr>
            </w:pPr>
          </w:p>
        </w:tc>
        <w:tc>
          <w:tcPr>
            <w:tcW w:w="1347" w:type="dxa"/>
          </w:tcPr>
          <w:p w:rsidR="00D72414" w:rsidRDefault="00D72414">
            <w:pPr>
              <w:jc w:val="both"/>
              <w:rPr>
                <w:rFonts w:ascii="Arial" w:eastAsia="Arial" w:hAnsi="Arial" w:cs="Arial"/>
                <w:b/>
                <w:sz w:val="20"/>
                <w:szCs w:val="20"/>
              </w:rPr>
            </w:pPr>
          </w:p>
        </w:tc>
        <w:tc>
          <w:tcPr>
            <w:tcW w:w="1347" w:type="dxa"/>
          </w:tcPr>
          <w:p w:rsidR="00D72414" w:rsidRDefault="00D72414">
            <w:pPr>
              <w:jc w:val="both"/>
              <w:rPr>
                <w:rFonts w:ascii="Arial" w:eastAsia="Arial" w:hAnsi="Arial" w:cs="Arial"/>
                <w:b/>
                <w:sz w:val="20"/>
                <w:szCs w:val="20"/>
              </w:rPr>
            </w:pPr>
          </w:p>
        </w:tc>
        <w:tc>
          <w:tcPr>
            <w:tcW w:w="1616" w:type="dxa"/>
          </w:tcPr>
          <w:p w:rsidR="00D72414" w:rsidRDefault="00D72414">
            <w:pPr>
              <w:jc w:val="both"/>
              <w:rPr>
                <w:rFonts w:ascii="Arial" w:eastAsia="Arial" w:hAnsi="Arial" w:cs="Arial"/>
                <w:b/>
                <w:sz w:val="20"/>
                <w:szCs w:val="20"/>
              </w:rPr>
            </w:pPr>
          </w:p>
        </w:tc>
        <w:tc>
          <w:tcPr>
            <w:tcW w:w="1751" w:type="dxa"/>
          </w:tcPr>
          <w:p w:rsidR="00D72414" w:rsidRDefault="00C0362E">
            <w:pPr>
              <w:rPr>
                <w:rFonts w:ascii="Arial" w:eastAsia="Arial" w:hAnsi="Arial" w:cs="Arial"/>
                <w:b/>
                <w:sz w:val="20"/>
                <w:szCs w:val="20"/>
              </w:rPr>
            </w:pPr>
            <w:r>
              <w:rPr>
                <w:rFonts w:ascii="Arial" w:eastAsia="Arial" w:hAnsi="Arial" w:cs="Arial"/>
                <w:b/>
                <w:sz w:val="20"/>
                <w:szCs w:val="20"/>
              </w:rPr>
              <w:t>Price Must be lower than previous band</w:t>
            </w:r>
          </w:p>
        </w:tc>
        <w:tc>
          <w:tcPr>
            <w:tcW w:w="1885" w:type="dxa"/>
          </w:tcPr>
          <w:p w:rsidR="00D72414" w:rsidRDefault="00C0362E">
            <w:pPr>
              <w:rPr>
                <w:rFonts w:ascii="Arial" w:eastAsia="Arial" w:hAnsi="Arial" w:cs="Arial"/>
                <w:b/>
                <w:sz w:val="20"/>
                <w:szCs w:val="20"/>
              </w:rPr>
            </w:pPr>
            <w:r>
              <w:rPr>
                <w:rFonts w:ascii="Arial" w:eastAsia="Arial" w:hAnsi="Arial" w:cs="Arial"/>
                <w:b/>
                <w:sz w:val="20"/>
                <w:szCs w:val="20"/>
              </w:rPr>
              <w:t>Price Must be lower than previous band</w:t>
            </w:r>
          </w:p>
        </w:tc>
        <w:tc>
          <w:tcPr>
            <w:tcW w:w="1752" w:type="dxa"/>
          </w:tcPr>
          <w:p w:rsidR="00D72414" w:rsidRDefault="00C0362E">
            <w:pPr>
              <w:jc w:val="both"/>
              <w:rPr>
                <w:rFonts w:ascii="Arial" w:eastAsia="Arial" w:hAnsi="Arial" w:cs="Arial"/>
                <w:b/>
                <w:sz w:val="20"/>
                <w:szCs w:val="20"/>
              </w:rPr>
            </w:pPr>
            <w:r>
              <w:rPr>
                <w:rFonts w:ascii="Arial" w:eastAsia="Arial" w:hAnsi="Arial" w:cs="Arial"/>
                <w:b/>
                <w:sz w:val="20"/>
                <w:szCs w:val="20"/>
              </w:rPr>
              <w:t>Price Must be lower than previous band</w:t>
            </w:r>
          </w:p>
        </w:tc>
      </w:tr>
      <w:tr w:rsidR="00D72414">
        <w:trPr>
          <w:trHeight w:val="709"/>
        </w:trPr>
        <w:tc>
          <w:tcPr>
            <w:tcW w:w="4628" w:type="dxa"/>
          </w:tcPr>
          <w:p w:rsidR="00D72414" w:rsidRDefault="00C0362E">
            <w:pPr>
              <w:numPr>
                <w:ilvl w:val="0"/>
                <w:numId w:val="28"/>
              </w:numPr>
              <w:pBdr>
                <w:top w:val="nil"/>
                <w:left w:val="nil"/>
                <w:bottom w:val="nil"/>
                <w:right w:val="nil"/>
                <w:between w:val="nil"/>
              </w:pBdr>
              <w:ind w:left="372"/>
              <w:jc w:val="both"/>
              <w:rPr>
                <w:rFonts w:ascii="Arial" w:eastAsia="Arial" w:hAnsi="Arial" w:cs="Arial"/>
                <w:b/>
                <w:sz w:val="20"/>
                <w:szCs w:val="20"/>
              </w:rPr>
            </w:pPr>
            <w:r>
              <w:rPr>
                <w:rFonts w:ascii="Arial" w:eastAsia="Arial" w:hAnsi="Arial" w:cs="Arial"/>
                <w:b/>
                <w:sz w:val="20"/>
                <w:szCs w:val="20"/>
              </w:rPr>
              <w:t>Support (encompassing all other fees additional to b-f below, relating to the delivery of the service)</w:t>
            </w:r>
          </w:p>
        </w:tc>
        <w:tc>
          <w:tcPr>
            <w:tcW w:w="1347" w:type="dxa"/>
          </w:tcPr>
          <w:p w:rsidR="00D72414" w:rsidRDefault="00D72414">
            <w:pPr>
              <w:jc w:val="both"/>
              <w:rPr>
                <w:rFonts w:ascii="Arial" w:eastAsia="Arial" w:hAnsi="Arial" w:cs="Arial"/>
                <w:b/>
                <w:sz w:val="20"/>
                <w:szCs w:val="20"/>
              </w:rPr>
            </w:pPr>
          </w:p>
        </w:tc>
        <w:tc>
          <w:tcPr>
            <w:tcW w:w="1347" w:type="dxa"/>
          </w:tcPr>
          <w:p w:rsidR="00D72414" w:rsidRDefault="00D72414">
            <w:pPr>
              <w:jc w:val="both"/>
              <w:rPr>
                <w:rFonts w:ascii="Arial" w:eastAsia="Arial" w:hAnsi="Arial" w:cs="Arial"/>
                <w:b/>
                <w:sz w:val="20"/>
                <w:szCs w:val="20"/>
              </w:rPr>
            </w:pPr>
          </w:p>
        </w:tc>
        <w:tc>
          <w:tcPr>
            <w:tcW w:w="1616" w:type="dxa"/>
          </w:tcPr>
          <w:p w:rsidR="00D72414" w:rsidRDefault="00C0362E">
            <w:pPr>
              <w:jc w:val="both"/>
              <w:rPr>
                <w:rFonts w:ascii="Arial" w:eastAsia="Arial" w:hAnsi="Arial" w:cs="Arial"/>
                <w:b/>
                <w:sz w:val="20"/>
                <w:szCs w:val="20"/>
              </w:rPr>
            </w:pPr>
            <w:r>
              <w:rPr>
                <w:rFonts w:ascii="Arial" w:eastAsia="Arial" w:hAnsi="Arial" w:cs="Arial"/>
                <w:b/>
                <w:sz w:val="20"/>
                <w:szCs w:val="20"/>
              </w:rPr>
              <w:t>N/A</w:t>
            </w:r>
          </w:p>
        </w:tc>
        <w:tc>
          <w:tcPr>
            <w:tcW w:w="1751" w:type="dxa"/>
          </w:tcPr>
          <w:p w:rsidR="00D72414" w:rsidRDefault="00C0362E">
            <w:pPr>
              <w:jc w:val="both"/>
              <w:rPr>
                <w:rFonts w:ascii="Arial" w:eastAsia="Arial" w:hAnsi="Arial" w:cs="Arial"/>
                <w:b/>
                <w:sz w:val="20"/>
                <w:szCs w:val="20"/>
              </w:rPr>
            </w:pPr>
            <w:r>
              <w:rPr>
                <w:rFonts w:ascii="Arial" w:eastAsia="Arial" w:hAnsi="Arial" w:cs="Arial"/>
                <w:b/>
                <w:sz w:val="20"/>
                <w:szCs w:val="20"/>
              </w:rPr>
              <w:t>N/A</w:t>
            </w:r>
          </w:p>
        </w:tc>
        <w:tc>
          <w:tcPr>
            <w:tcW w:w="1885" w:type="dxa"/>
          </w:tcPr>
          <w:p w:rsidR="00D72414" w:rsidRDefault="00C0362E">
            <w:pPr>
              <w:jc w:val="both"/>
              <w:rPr>
                <w:rFonts w:ascii="Arial" w:eastAsia="Arial" w:hAnsi="Arial" w:cs="Arial"/>
                <w:b/>
                <w:sz w:val="20"/>
                <w:szCs w:val="20"/>
              </w:rPr>
            </w:pPr>
            <w:r>
              <w:rPr>
                <w:rFonts w:ascii="Arial" w:eastAsia="Arial" w:hAnsi="Arial" w:cs="Arial"/>
                <w:b/>
                <w:sz w:val="20"/>
                <w:szCs w:val="20"/>
              </w:rPr>
              <w:t>N/A</w:t>
            </w:r>
          </w:p>
        </w:tc>
        <w:tc>
          <w:tcPr>
            <w:tcW w:w="1752" w:type="dxa"/>
          </w:tcPr>
          <w:p w:rsidR="00D72414" w:rsidRDefault="00C0362E">
            <w:pPr>
              <w:jc w:val="both"/>
              <w:rPr>
                <w:rFonts w:ascii="Arial" w:eastAsia="Arial" w:hAnsi="Arial" w:cs="Arial"/>
                <w:b/>
                <w:sz w:val="20"/>
                <w:szCs w:val="20"/>
              </w:rPr>
            </w:pPr>
            <w:r>
              <w:rPr>
                <w:rFonts w:ascii="Arial" w:eastAsia="Arial" w:hAnsi="Arial" w:cs="Arial"/>
                <w:b/>
                <w:sz w:val="20"/>
                <w:szCs w:val="20"/>
              </w:rPr>
              <w:t>N/A</w:t>
            </w:r>
          </w:p>
        </w:tc>
      </w:tr>
      <w:tr w:rsidR="00D72414">
        <w:trPr>
          <w:trHeight w:val="473"/>
        </w:trPr>
        <w:tc>
          <w:tcPr>
            <w:tcW w:w="4628" w:type="dxa"/>
          </w:tcPr>
          <w:p w:rsidR="00D72414" w:rsidRDefault="00C0362E">
            <w:pPr>
              <w:numPr>
                <w:ilvl w:val="0"/>
                <w:numId w:val="28"/>
              </w:numPr>
              <w:pBdr>
                <w:top w:val="nil"/>
                <w:left w:val="nil"/>
                <w:bottom w:val="nil"/>
                <w:right w:val="nil"/>
                <w:between w:val="nil"/>
              </w:pBdr>
              <w:ind w:left="372"/>
              <w:jc w:val="both"/>
              <w:rPr>
                <w:rFonts w:ascii="Arial" w:eastAsia="Arial" w:hAnsi="Arial" w:cs="Arial"/>
                <w:b/>
                <w:sz w:val="20"/>
                <w:szCs w:val="20"/>
              </w:rPr>
            </w:pPr>
            <w:r>
              <w:rPr>
                <w:rFonts w:ascii="Arial" w:eastAsia="Arial" w:hAnsi="Arial" w:cs="Arial"/>
                <w:b/>
                <w:sz w:val="20"/>
                <w:szCs w:val="20"/>
              </w:rPr>
              <w:t>I&amp;E Processing using Open Banking</w:t>
            </w:r>
          </w:p>
        </w:tc>
        <w:tc>
          <w:tcPr>
            <w:tcW w:w="1347" w:type="dxa"/>
          </w:tcPr>
          <w:p w:rsidR="00D72414" w:rsidRDefault="00D72414">
            <w:pPr>
              <w:rPr>
                <w:rFonts w:ascii="Arial" w:eastAsia="Arial" w:hAnsi="Arial" w:cs="Arial"/>
                <w:b/>
                <w:sz w:val="20"/>
                <w:szCs w:val="20"/>
              </w:rPr>
            </w:pPr>
          </w:p>
        </w:tc>
        <w:tc>
          <w:tcPr>
            <w:tcW w:w="1347" w:type="dxa"/>
          </w:tcPr>
          <w:p w:rsidR="00D72414" w:rsidRDefault="00C0362E">
            <w:pPr>
              <w:rPr>
                <w:rFonts w:ascii="Arial" w:eastAsia="Arial" w:hAnsi="Arial" w:cs="Arial"/>
                <w:b/>
                <w:sz w:val="20"/>
                <w:szCs w:val="20"/>
              </w:rPr>
            </w:pPr>
            <w:r>
              <w:rPr>
                <w:rFonts w:ascii="Arial" w:eastAsia="Arial" w:hAnsi="Arial" w:cs="Arial"/>
                <w:b/>
                <w:sz w:val="20"/>
                <w:szCs w:val="20"/>
              </w:rPr>
              <w:t>N/A</w:t>
            </w:r>
          </w:p>
          <w:p w:rsidR="00D72414" w:rsidRDefault="00D72414">
            <w:pPr>
              <w:rPr>
                <w:rFonts w:ascii="Arial" w:eastAsia="Arial" w:hAnsi="Arial" w:cs="Arial"/>
                <w:sz w:val="20"/>
                <w:szCs w:val="20"/>
              </w:rPr>
            </w:pPr>
          </w:p>
        </w:tc>
        <w:tc>
          <w:tcPr>
            <w:tcW w:w="1616" w:type="dxa"/>
          </w:tcPr>
          <w:p w:rsidR="00D72414" w:rsidRDefault="00D72414">
            <w:pPr>
              <w:jc w:val="both"/>
              <w:rPr>
                <w:rFonts w:ascii="Arial" w:eastAsia="Arial" w:hAnsi="Arial" w:cs="Arial"/>
                <w:b/>
                <w:sz w:val="20"/>
                <w:szCs w:val="20"/>
              </w:rPr>
            </w:pPr>
          </w:p>
        </w:tc>
        <w:tc>
          <w:tcPr>
            <w:tcW w:w="1751" w:type="dxa"/>
          </w:tcPr>
          <w:p w:rsidR="00D72414" w:rsidRDefault="00D72414">
            <w:pPr>
              <w:jc w:val="both"/>
              <w:rPr>
                <w:rFonts w:ascii="Arial" w:eastAsia="Arial" w:hAnsi="Arial" w:cs="Arial"/>
                <w:b/>
                <w:sz w:val="20"/>
                <w:szCs w:val="20"/>
              </w:rPr>
            </w:pPr>
          </w:p>
        </w:tc>
        <w:tc>
          <w:tcPr>
            <w:tcW w:w="1885" w:type="dxa"/>
          </w:tcPr>
          <w:p w:rsidR="00D72414" w:rsidRDefault="00D72414">
            <w:pPr>
              <w:jc w:val="both"/>
              <w:rPr>
                <w:rFonts w:ascii="Arial" w:eastAsia="Arial" w:hAnsi="Arial" w:cs="Arial"/>
                <w:b/>
                <w:sz w:val="20"/>
                <w:szCs w:val="20"/>
              </w:rPr>
            </w:pPr>
          </w:p>
        </w:tc>
        <w:tc>
          <w:tcPr>
            <w:tcW w:w="1752" w:type="dxa"/>
          </w:tcPr>
          <w:p w:rsidR="00D72414" w:rsidRDefault="00D72414">
            <w:pPr>
              <w:jc w:val="both"/>
              <w:rPr>
                <w:rFonts w:ascii="Arial" w:eastAsia="Arial" w:hAnsi="Arial" w:cs="Arial"/>
                <w:b/>
                <w:sz w:val="20"/>
                <w:szCs w:val="20"/>
              </w:rPr>
            </w:pPr>
          </w:p>
        </w:tc>
      </w:tr>
      <w:tr w:rsidR="00D72414">
        <w:trPr>
          <w:trHeight w:val="236"/>
        </w:trPr>
        <w:tc>
          <w:tcPr>
            <w:tcW w:w="4628" w:type="dxa"/>
          </w:tcPr>
          <w:p w:rsidR="00D72414" w:rsidRDefault="00C0362E">
            <w:pPr>
              <w:ind w:left="662" w:hanging="360"/>
              <w:jc w:val="both"/>
              <w:rPr>
                <w:rFonts w:ascii="Arial" w:eastAsia="Arial" w:hAnsi="Arial" w:cs="Arial"/>
                <w:b/>
                <w:sz w:val="20"/>
                <w:szCs w:val="20"/>
              </w:rPr>
            </w:pPr>
            <w:r>
              <w:rPr>
                <w:rFonts w:ascii="Arial" w:eastAsia="Arial" w:hAnsi="Arial" w:cs="Arial"/>
                <w:b/>
                <w:sz w:val="20"/>
                <w:szCs w:val="20"/>
              </w:rPr>
              <w:t>(I) Customer completes process</w:t>
            </w:r>
          </w:p>
        </w:tc>
        <w:tc>
          <w:tcPr>
            <w:tcW w:w="1347" w:type="dxa"/>
          </w:tcPr>
          <w:p w:rsidR="00D72414" w:rsidRDefault="00D72414">
            <w:pPr>
              <w:jc w:val="both"/>
              <w:rPr>
                <w:rFonts w:ascii="Arial" w:eastAsia="Arial" w:hAnsi="Arial" w:cs="Arial"/>
                <w:b/>
                <w:sz w:val="20"/>
                <w:szCs w:val="20"/>
              </w:rPr>
            </w:pPr>
          </w:p>
        </w:tc>
        <w:tc>
          <w:tcPr>
            <w:tcW w:w="1347" w:type="dxa"/>
          </w:tcPr>
          <w:p w:rsidR="00D72414" w:rsidRDefault="00C0362E">
            <w:pPr>
              <w:jc w:val="both"/>
              <w:rPr>
                <w:rFonts w:ascii="Arial" w:eastAsia="Arial" w:hAnsi="Arial" w:cs="Arial"/>
                <w:b/>
                <w:sz w:val="20"/>
                <w:szCs w:val="20"/>
              </w:rPr>
            </w:pPr>
            <w:r>
              <w:rPr>
                <w:rFonts w:ascii="Arial" w:eastAsia="Arial" w:hAnsi="Arial" w:cs="Arial"/>
                <w:b/>
                <w:sz w:val="20"/>
                <w:szCs w:val="20"/>
              </w:rPr>
              <w:t>N/A</w:t>
            </w:r>
          </w:p>
        </w:tc>
        <w:tc>
          <w:tcPr>
            <w:tcW w:w="1616" w:type="dxa"/>
          </w:tcPr>
          <w:p w:rsidR="00D72414" w:rsidRDefault="00D72414">
            <w:pPr>
              <w:jc w:val="both"/>
              <w:rPr>
                <w:rFonts w:ascii="Arial" w:eastAsia="Arial" w:hAnsi="Arial" w:cs="Arial"/>
                <w:b/>
                <w:sz w:val="20"/>
                <w:szCs w:val="20"/>
              </w:rPr>
            </w:pPr>
          </w:p>
        </w:tc>
        <w:tc>
          <w:tcPr>
            <w:tcW w:w="1751" w:type="dxa"/>
          </w:tcPr>
          <w:p w:rsidR="00D72414" w:rsidRDefault="00D72414">
            <w:pPr>
              <w:jc w:val="both"/>
              <w:rPr>
                <w:rFonts w:ascii="Arial" w:eastAsia="Arial" w:hAnsi="Arial" w:cs="Arial"/>
                <w:b/>
                <w:sz w:val="20"/>
                <w:szCs w:val="20"/>
              </w:rPr>
            </w:pPr>
          </w:p>
        </w:tc>
        <w:tc>
          <w:tcPr>
            <w:tcW w:w="1885" w:type="dxa"/>
          </w:tcPr>
          <w:p w:rsidR="00D72414" w:rsidRDefault="00D72414">
            <w:pPr>
              <w:jc w:val="both"/>
              <w:rPr>
                <w:rFonts w:ascii="Arial" w:eastAsia="Arial" w:hAnsi="Arial" w:cs="Arial"/>
                <w:b/>
                <w:sz w:val="20"/>
                <w:szCs w:val="20"/>
              </w:rPr>
            </w:pPr>
          </w:p>
        </w:tc>
        <w:tc>
          <w:tcPr>
            <w:tcW w:w="1752" w:type="dxa"/>
          </w:tcPr>
          <w:p w:rsidR="00D72414" w:rsidRDefault="00D72414">
            <w:pPr>
              <w:jc w:val="both"/>
              <w:rPr>
                <w:rFonts w:ascii="Arial" w:eastAsia="Arial" w:hAnsi="Arial" w:cs="Arial"/>
                <w:b/>
                <w:sz w:val="20"/>
                <w:szCs w:val="20"/>
              </w:rPr>
            </w:pPr>
          </w:p>
        </w:tc>
      </w:tr>
      <w:tr w:rsidR="00D72414">
        <w:trPr>
          <w:trHeight w:val="473"/>
        </w:trPr>
        <w:tc>
          <w:tcPr>
            <w:tcW w:w="4628" w:type="dxa"/>
          </w:tcPr>
          <w:p w:rsidR="00D72414" w:rsidRDefault="00C0362E">
            <w:pPr>
              <w:ind w:left="662" w:hanging="360"/>
              <w:jc w:val="both"/>
              <w:rPr>
                <w:rFonts w:ascii="Arial" w:eastAsia="Arial" w:hAnsi="Arial" w:cs="Arial"/>
                <w:b/>
                <w:sz w:val="20"/>
                <w:szCs w:val="20"/>
              </w:rPr>
            </w:pPr>
            <w:r>
              <w:rPr>
                <w:rFonts w:ascii="Arial" w:eastAsia="Arial" w:hAnsi="Arial" w:cs="Arial"/>
                <w:b/>
                <w:sz w:val="20"/>
                <w:szCs w:val="20"/>
              </w:rPr>
              <w:t>(II) Customer starts but does not complete the process</w:t>
            </w:r>
          </w:p>
        </w:tc>
        <w:tc>
          <w:tcPr>
            <w:tcW w:w="1347" w:type="dxa"/>
          </w:tcPr>
          <w:p w:rsidR="00D72414" w:rsidRDefault="00D72414">
            <w:pPr>
              <w:jc w:val="both"/>
              <w:rPr>
                <w:rFonts w:ascii="Arial" w:eastAsia="Arial" w:hAnsi="Arial" w:cs="Arial"/>
                <w:b/>
                <w:sz w:val="20"/>
                <w:szCs w:val="20"/>
              </w:rPr>
            </w:pPr>
          </w:p>
        </w:tc>
        <w:tc>
          <w:tcPr>
            <w:tcW w:w="1347" w:type="dxa"/>
          </w:tcPr>
          <w:p w:rsidR="00D72414" w:rsidRDefault="00C0362E">
            <w:pPr>
              <w:jc w:val="both"/>
              <w:rPr>
                <w:rFonts w:ascii="Arial" w:eastAsia="Arial" w:hAnsi="Arial" w:cs="Arial"/>
                <w:b/>
                <w:sz w:val="20"/>
                <w:szCs w:val="20"/>
              </w:rPr>
            </w:pPr>
            <w:r>
              <w:rPr>
                <w:rFonts w:ascii="Arial" w:eastAsia="Arial" w:hAnsi="Arial" w:cs="Arial"/>
                <w:b/>
                <w:sz w:val="20"/>
                <w:szCs w:val="20"/>
              </w:rPr>
              <w:t>N/A</w:t>
            </w:r>
          </w:p>
        </w:tc>
        <w:tc>
          <w:tcPr>
            <w:tcW w:w="1616" w:type="dxa"/>
          </w:tcPr>
          <w:p w:rsidR="00D72414" w:rsidRDefault="00D72414">
            <w:pPr>
              <w:jc w:val="both"/>
              <w:rPr>
                <w:rFonts w:ascii="Arial" w:eastAsia="Arial" w:hAnsi="Arial" w:cs="Arial"/>
                <w:b/>
                <w:sz w:val="20"/>
                <w:szCs w:val="20"/>
              </w:rPr>
            </w:pPr>
          </w:p>
        </w:tc>
        <w:tc>
          <w:tcPr>
            <w:tcW w:w="1751" w:type="dxa"/>
          </w:tcPr>
          <w:p w:rsidR="00D72414" w:rsidRDefault="00D72414">
            <w:pPr>
              <w:jc w:val="both"/>
              <w:rPr>
                <w:rFonts w:ascii="Arial" w:eastAsia="Arial" w:hAnsi="Arial" w:cs="Arial"/>
                <w:b/>
                <w:sz w:val="20"/>
                <w:szCs w:val="20"/>
              </w:rPr>
            </w:pPr>
          </w:p>
        </w:tc>
        <w:tc>
          <w:tcPr>
            <w:tcW w:w="1885" w:type="dxa"/>
          </w:tcPr>
          <w:p w:rsidR="00D72414" w:rsidRDefault="00D72414">
            <w:pPr>
              <w:jc w:val="both"/>
              <w:rPr>
                <w:rFonts w:ascii="Arial" w:eastAsia="Arial" w:hAnsi="Arial" w:cs="Arial"/>
                <w:b/>
                <w:sz w:val="20"/>
                <w:szCs w:val="20"/>
              </w:rPr>
            </w:pPr>
          </w:p>
        </w:tc>
        <w:tc>
          <w:tcPr>
            <w:tcW w:w="1752" w:type="dxa"/>
          </w:tcPr>
          <w:p w:rsidR="00D72414" w:rsidRDefault="00D72414">
            <w:pPr>
              <w:jc w:val="both"/>
              <w:rPr>
                <w:rFonts w:ascii="Arial" w:eastAsia="Arial" w:hAnsi="Arial" w:cs="Arial"/>
                <w:b/>
                <w:sz w:val="20"/>
                <w:szCs w:val="20"/>
              </w:rPr>
            </w:pPr>
          </w:p>
        </w:tc>
      </w:tr>
      <w:tr w:rsidR="00D72414">
        <w:trPr>
          <w:trHeight w:val="236"/>
        </w:trPr>
        <w:tc>
          <w:tcPr>
            <w:tcW w:w="4628" w:type="dxa"/>
          </w:tcPr>
          <w:p w:rsidR="00D72414" w:rsidRDefault="00C0362E">
            <w:pPr>
              <w:numPr>
                <w:ilvl w:val="0"/>
                <w:numId w:val="28"/>
              </w:numPr>
              <w:pBdr>
                <w:top w:val="nil"/>
                <w:left w:val="nil"/>
                <w:bottom w:val="nil"/>
                <w:right w:val="nil"/>
                <w:between w:val="nil"/>
              </w:pBdr>
              <w:ind w:left="372"/>
              <w:jc w:val="both"/>
              <w:rPr>
                <w:rFonts w:ascii="Arial" w:eastAsia="Arial" w:hAnsi="Arial" w:cs="Arial"/>
                <w:b/>
                <w:sz w:val="20"/>
                <w:szCs w:val="20"/>
              </w:rPr>
            </w:pPr>
            <w:r>
              <w:rPr>
                <w:rFonts w:ascii="Arial" w:eastAsia="Arial" w:hAnsi="Arial" w:cs="Arial"/>
                <w:b/>
                <w:sz w:val="20"/>
                <w:szCs w:val="20"/>
              </w:rPr>
              <w:t>Manual I&amp;E Processing</w:t>
            </w:r>
          </w:p>
        </w:tc>
        <w:tc>
          <w:tcPr>
            <w:tcW w:w="1347" w:type="dxa"/>
          </w:tcPr>
          <w:p w:rsidR="00D72414" w:rsidRDefault="00D72414">
            <w:pPr>
              <w:jc w:val="both"/>
              <w:rPr>
                <w:rFonts w:ascii="Arial" w:eastAsia="Arial" w:hAnsi="Arial" w:cs="Arial"/>
                <w:b/>
                <w:sz w:val="20"/>
                <w:szCs w:val="20"/>
              </w:rPr>
            </w:pPr>
          </w:p>
        </w:tc>
        <w:tc>
          <w:tcPr>
            <w:tcW w:w="1347" w:type="dxa"/>
          </w:tcPr>
          <w:p w:rsidR="00D72414" w:rsidRDefault="00C0362E">
            <w:pPr>
              <w:jc w:val="both"/>
              <w:rPr>
                <w:rFonts w:ascii="Arial" w:eastAsia="Arial" w:hAnsi="Arial" w:cs="Arial"/>
                <w:b/>
                <w:sz w:val="20"/>
                <w:szCs w:val="20"/>
              </w:rPr>
            </w:pPr>
            <w:r>
              <w:rPr>
                <w:rFonts w:ascii="Arial" w:eastAsia="Arial" w:hAnsi="Arial" w:cs="Arial"/>
                <w:b/>
                <w:sz w:val="20"/>
                <w:szCs w:val="20"/>
              </w:rPr>
              <w:t>N/A</w:t>
            </w:r>
          </w:p>
        </w:tc>
        <w:tc>
          <w:tcPr>
            <w:tcW w:w="1616" w:type="dxa"/>
          </w:tcPr>
          <w:p w:rsidR="00D72414" w:rsidRDefault="00D72414">
            <w:pPr>
              <w:jc w:val="both"/>
              <w:rPr>
                <w:rFonts w:ascii="Arial" w:eastAsia="Arial" w:hAnsi="Arial" w:cs="Arial"/>
                <w:b/>
                <w:sz w:val="20"/>
                <w:szCs w:val="20"/>
              </w:rPr>
            </w:pPr>
          </w:p>
        </w:tc>
        <w:tc>
          <w:tcPr>
            <w:tcW w:w="1751" w:type="dxa"/>
          </w:tcPr>
          <w:p w:rsidR="00D72414" w:rsidRDefault="00D72414">
            <w:pPr>
              <w:jc w:val="both"/>
              <w:rPr>
                <w:rFonts w:ascii="Arial" w:eastAsia="Arial" w:hAnsi="Arial" w:cs="Arial"/>
                <w:b/>
                <w:sz w:val="20"/>
                <w:szCs w:val="20"/>
              </w:rPr>
            </w:pPr>
          </w:p>
        </w:tc>
        <w:tc>
          <w:tcPr>
            <w:tcW w:w="1885" w:type="dxa"/>
          </w:tcPr>
          <w:p w:rsidR="00D72414" w:rsidRDefault="00D72414">
            <w:pPr>
              <w:jc w:val="both"/>
              <w:rPr>
                <w:rFonts w:ascii="Arial" w:eastAsia="Arial" w:hAnsi="Arial" w:cs="Arial"/>
                <w:b/>
                <w:sz w:val="20"/>
                <w:szCs w:val="20"/>
              </w:rPr>
            </w:pPr>
          </w:p>
        </w:tc>
        <w:tc>
          <w:tcPr>
            <w:tcW w:w="1752" w:type="dxa"/>
          </w:tcPr>
          <w:p w:rsidR="00D72414" w:rsidRDefault="00D72414">
            <w:pPr>
              <w:jc w:val="both"/>
              <w:rPr>
                <w:rFonts w:ascii="Arial" w:eastAsia="Arial" w:hAnsi="Arial" w:cs="Arial"/>
                <w:b/>
                <w:sz w:val="20"/>
                <w:szCs w:val="20"/>
              </w:rPr>
            </w:pPr>
          </w:p>
        </w:tc>
      </w:tr>
      <w:tr w:rsidR="00D72414">
        <w:trPr>
          <w:trHeight w:val="236"/>
        </w:trPr>
        <w:tc>
          <w:tcPr>
            <w:tcW w:w="4628" w:type="dxa"/>
          </w:tcPr>
          <w:p w:rsidR="00D72414" w:rsidRDefault="00C0362E">
            <w:pPr>
              <w:ind w:left="662" w:hanging="360"/>
              <w:jc w:val="both"/>
              <w:rPr>
                <w:rFonts w:ascii="Arial" w:eastAsia="Arial" w:hAnsi="Arial" w:cs="Arial"/>
                <w:b/>
                <w:sz w:val="20"/>
                <w:szCs w:val="20"/>
              </w:rPr>
            </w:pPr>
            <w:r>
              <w:rPr>
                <w:rFonts w:ascii="Arial" w:eastAsia="Arial" w:hAnsi="Arial" w:cs="Arial"/>
                <w:b/>
                <w:sz w:val="20"/>
                <w:szCs w:val="20"/>
              </w:rPr>
              <w:t>(I) Customer completes process</w:t>
            </w:r>
          </w:p>
        </w:tc>
        <w:tc>
          <w:tcPr>
            <w:tcW w:w="1347" w:type="dxa"/>
          </w:tcPr>
          <w:p w:rsidR="00D72414" w:rsidRDefault="00D72414">
            <w:pPr>
              <w:jc w:val="both"/>
              <w:rPr>
                <w:rFonts w:ascii="Arial" w:eastAsia="Arial" w:hAnsi="Arial" w:cs="Arial"/>
                <w:b/>
                <w:sz w:val="20"/>
                <w:szCs w:val="20"/>
              </w:rPr>
            </w:pPr>
          </w:p>
        </w:tc>
        <w:tc>
          <w:tcPr>
            <w:tcW w:w="1347" w:type="dxa"/>
          </w:tcPr>
          <w:p w:rsidR="00D72414" w:rsidRDefault="00C0362E">
            <w:pPr>
              <w:jc w:val="both"/>
              <w:rPr>
                <w:rFonts w:ascii="Arial" w:eastAsia="Arial" w:hAnsi="Arial" w:cs="Arial"/>
                <w:b/>
                <w:sz w:val="20"/>
                <w:szCs w:val="20"/>
              </w:rPr>
            </w:pPr>
            <w:r>
              <w:rPr>
                <w:rFonts w:ascii="Arial" w:eastAsia="Arial" w:hAnsi="Arial" w:cs="Arial"/>
                <w:b/>
                <w:sz w:val="20"/>
                <w:szCs w:val="20"/>
              </w:rPr>
              <w:t>N/A</w:t>
            </w:r>
          </w:p>
        </w:tc>
        <w:tc>
          <w:tcPr>
            <w:tcW w:w="1616" w:type="dxa"/>
          </w:tcPr>
          <w:p w:rsidR="00D72414" w:rsidRDefault="00D72414">
            <w:pPr>
              <w:jc w:val="both"/>
              <w:rPr>
                <w:rFonts w:ascii="Arial" w:eastAsia="Arial" w:hAnsi="Arial" w:cs="Arial"/>
                <w:b/>
                <w:sz w:val="20"/>
                <w:szCs w:val="20"/>
              </w:rPr>
            </w:pPr>
          </w:p>
        </w:tc>
        <w:tc>
          <w:tcPr>
            <w:tcW w:w="1751" w:type="dxa"/>
          </w:tcPr>
          <w:p w:rsidR="00D72414" w:rsidRDefault="00D72414">
            <w:pPr>
              <w:jc w:val="both"/>
              <w:rPr>
                <w:rFonts w:ascii="Arial" w:eastAsia="Arial" w:hAnsi="Arial" w:cs="Arial"/>
                <w:b/>
                <w:sz w:val="20"/>
                <w:szCs w:val="20"/>
              </w:rPr>
            </w:pPr>
          </w:p>
        </w:tc>
        <w:tc>
          <w:tcPr>
            <w:tcW w:w="1885" w:type="dxa"/>
          </w:tcPr>
          <w:p w:rsidR="00D72414" w:rsidRDefault="00D72414">
            <w:pPr>
              <w:jc w:val="both"/>
              <w:rPr>
                <w:rFonts w:ascii="Arial" w:eastAsia="Arial" w:hAnsi="Arial" w:cs="Arial"/>
                <w:b/>
                <w:sz w:val="20"/>
                <w:szCs w:val="20"/>
              </w:rPr>
            </w:pPr>
          </w:p>
        </w:tc>
        <w:tc>
          <w:tcPr>
            <w:tcW w:w="1752" w:type="dxa"/>
          </w:tcPr>
          <w:p w:rsidR="00D72414" w:rsidRDefault="00D72414">
            <w:pPr>
              <w:jc w:val="both"/>
              <w:rPr>
                <w:rFonts w:ascii="Arial" w:eastAsia="Arial" w:hAnsi="Arial" w:cs="Arial"/>
                <w:b/>
                <w:sz w:val="20"/>
                <w:szCs w:val="20"/>
              </w:rPr>
            </w:pPr>
          </w:p>
        </w:tc>
      </w:tr>
      <w:tr w:rsidR="00D72414">
        <w:trPr>
          <w:trHeight w:val="473"/>
        </w:trPr>
        <w:tc>
          <w:tcPr>
            <w:tcW w:w="4628" w:type="dxa"/>
          </w:tcPr>
          <w:p w:rsidR="00D72414" w:rsidRDefault="00C0362E">
            <w:pPr>
              <w:ind w:left="662" w:hanging="360"/>
              <w:jc w:val="both"/>
              <w:rPr>
                <w:rFonts w:ascii="Arial" w:eastAsia="Arial" w:hAnsi="Arial" w:cs="Arial"/>
                <w:b/>
                <w:sz w:val="20"/>
                <w:szCs w:val="20"/>
              </w:rPr>
            </w:pPr>
            <w:r>
              <w:rPr>
                <w:rFonts w:ascii="Arial" w:eastAsia="Arial" w:hAnsi="Arial" w:cs="Arial"/>
                <w:b/>
                <w:sz w:val="20"/>
                <w:szCs w:val="20"/>
              </w:rPr>
              <w:t>(II) Customer starts but does not complete the process</w:t>
            </w:r>
          </w:p>
        </w:tc>
        <w:tc>
          <w:tcPr>
            <w:tcW w:w="1347" w:type="dxa"/>
          </w:tcPr>
          <w:p w:rsidR="00D72414" w:rsidRDefault="00D72414">
            <w:pPr>
              <w:jc w:val="both"/>
              <w:rPr>
                <w:rFonts w:ascii="Arial" w:eastAsia="Arial" w:hAnsi="Arial" w:cs="Arial"/>
                <w:b/>
                <w:sz w:val="20"/>
                <w:szCs w:val="20"/>
              </w:rPr>
            </w:pPr>
          </w:p>
        </w:tc>
        <w:tc>
          <w:tcPr>
            <w:tcW w:w="1347" w:type="dxa"/>
          </w:tcPr>
          <w:p w:rsidR="00D72414" w:rsidRDefault="00C0362E">
            <w:pPr>
              <w:jc w:val="both"/>
              <w:rPr>
                <w:rFonts w:ascii="Arial" w:eastAsia="Arial" w:hAnsi="Arial" w:cs="Arial"/>
                <w:b/>
                <w:sz w:val="20"/>
                <w:szCs w:val="20"/>
              </w:rPr>
            </w:pPr>
            <w:r>
              <w:rPr>
                <w:rFonts w:ascii="Arial" w:eastAsia="Arial" w:hAnsi="Arial" w:cs="Arial"/>
                <w:b/>
                <w:sz w:val="20"/>
                <w:szCs w:val="20"/>
              </w:rPr>
              <w:t>N/A</w:t>
            </w:r>
          </w:p>
        </w:tc>
        <w:tc>
          <w:tcPr>
            <w:tcW w:w="1616" w:type="dxa"/>
          </w:tcPr>
          <w:p w:rsidR="00D72414" w:rsidRDefault="00D72414">
            <w:pPr>
              <w:jc w:val="both"/>
              <w:rPr>
                <w:rFonts w:ascii="Arial" w:eastAsia="Arial" w:hAnsi="Arial" w:cs="Arial"/>
                <w:b/>
                <w:sz w:val="20"/>
                <w:szCs w:val="20"/>
              </w:rPr>
            </w:pPr>
          </w:p>
        </w:tc>
        <w:tc>
          <w:tcPr>
            <w:tcW w:w="1751" w:type="dxa"/>
          </w:tcPr>
          <w:p w:rsidR="00D72414" w:rsidRDefault="00D72414">
            <w:pPr>
              <w:jc w:val="both"/>
              <w:rPr>
                <w:rFonts w:ascii="Arial" w:eastAsia="Arial" w:hAnsi="Arial" w:cs="Arial"/>
                <w:b/>
                <w:sz w:val="20"/>
                <w:szCs w:val="20"/>
              </w:rPr>
            </w:pPr>
          </w:p>
        </w:tc>
        <w:tc>
          <w:tcPr>
            <w:tcW w:w="1885" w:type="dxa"/>
          </w:tcPr>
          <w:p w:rsidR="00D72414" w:rsidRDefault="00D72414">
            <w:pPr>
              <w:jc w:val="both"/>
              <w:rPr>
                <w:rFonts w:ascii="Arial" w:eastAsia="Arial" w:hAnsi="Arial" w:cs="Arial"/>
                <w:b/>
                <w:sz w:val="20"/>
                <w:szCs w:val="20"/>
              </w:rPr>
            </w:pPr>
          </w:p>
        </w:tc>
        <w:tc>
          <w:tcPr>
            <w:tcW w:w="1752" w:type="dxa"/>
          </w:tcPr>
          <w:p w:rsidR="00D72414" w:rsidRDefault="00D72414">
            <w:pPr>
              <w:jc w:val="both"/>
              <w:rPr>
                <w:rFonts w:ascii="Arial" w:eastAsia="Arial" w:hAnsi="Arial" w:cs="Arial"/>
                <w:b/>
                <w:sz w:val="20"/>
                <w:szCs w:val="20"/>
              </w:rPr>
            </w:pPr>
          </w:p>
        </w:tc>
      </w:tr>
      <w:tr w:rsidR="00D72414">
        <w:trPr>
          <w:trHeight w:val="473"/>
        </w:trPr>
        <w:tc>
          <w:tcPr>
            <w:tcW w:w="4628" w:type="dxa"/>
          </w:tcPr>
          <w:p w:rsidR="00D72414" w:rsidRDefault="00C0362E">
            <w:pPr>
              <w:numPr>
                <w:ilvl w:val="0"/>
                <w:numId w:val="28"/>
              </w:numPr>
              <w:pBdr>
                <w:top w:val="nil"/>
                <w:left w:val="nil"/>
                <w:bottom w:val="nil"/>
                <w:right w:val="nil"/>
                <w:between w:val="nil"/>
              </w:pBdr>
              <w:ind w:left="372"/>
              <w:jc w:val="both"/>
              <w:rPr>
                <w:rFonts w:ascii="Arial" w:eastAsia="Arial" w:hAnsi="Arial" w:cs="Arial"/>
                <w:b/>
                <w:sz w:val="20"/>
                <w:szCs w:val="20"/>
              </w:rPr>
            </w:pPr>
            <w:r>
              <w:rPr>
                <w:rFonts w:ascii="Arial" w:eastAsia="Arial" w:hAnsi="Arial" w:cs="Arial"/>
                <w:b/>
                <w:sz w:val="20"/>
                <w:szCs w:val="20"/>
              </w:rPr>
              <w:t>SMS (each SMS sent by the Supplier to the Customer)</w:t>
            </w:r>
          </w:p>
        </w:tc>
        <w:tc>
          <w:tcPr>
            <w:tcW w:w="1347" w:type="dxa"/>
          </w:tcPr>
          <w:p w:rsidR="00D72414" w:rsidRDefault="00D72414">
            <w:pPr>
              <w:jc w:val="both"/>
              <w:rPr>
                <w:rFonts w:ascii="Arial" w:eastAsia="Arial" w:hAnsi="Arial" w:cs="Arial"/>
                <w:b/>
                <w:sz w:val="20"/>
                <w:szCs w:val="20"/>
              </w:rPr>
            </w:pPr>
          </w:p>
        </w:tc>
        <w:tc>
          <w:tcPr>
            <w:tcW w:w="1347" w:type="dxa"/>
          </w:tcPr>
          <w:p w:rsidR="00D72414" w:rsidRDefault="00C0362E">
            <w:pPr>
              <w:jc w:val="both"/>
              <w:rPr>
                <w:rFonts w:ascii="Arial" w:eastAsia="Arial" w:hAnsi="Arial" w:cs="Arial"/>
                <w:b/>
                <w:sz w:val="20"/>
                <w:szCs w:val="20"/>
              </w:rPr>
            </w:pPr>
            <w:r>
              <w:rPr>
                <w:rFonts w:ascii="Arial" w:eastAsia="Arial" w:hAnsi="Arial" w:cs="Arial"/>
                <w:b/>
                <w:sz w:val="20"/>
                <w:szCs w:val="20"/>
              </w:rPr>
              <w:t>N/A</w:t>
            </w:r>
          </w:p>
        </w:tc>
        <w:tc>
          <w:tcPr>
            <w:tcW w:w="1616" w:type="dxa"/>
          </w:tcPr>
          <w:p w:rsidR="00D72414" w:rsidRDefault="00D72414">
            <w:pPr>
              <w:jc w:val="both"/>
              <w:rPr>
                <w:rFonts w:ascii="Arial" w:eastAsia="Arial" w:hAnsi="Arial" w:cs="Arial"/>
                <w:b/>
                <w:sz w:val="20"/>
                <w:szCs w:val="20"/>
              </w:rPr>
            </w:pPr>
          </w:p>
        </w:tc>
        <w:tc>
          <w:tcPr>
            <w:tcW w:w="1751" w:type="dxa"/>
          </w:tcPr>
          <w:p w:rsidR="00D72414" w:rsidRDefault="00D72414">
            <w:pPr>
              <w:jc w:val="both"/>
              <w:rPr>
                <w:rFonts w:ascii="Arial" w:eastAsia="Arial" w:hAnsi="Arial" w:cs="Arial"/>
                <w:b/>
                <w:sz w:val="20"/>
                <w:szCs w:val="20"/>
              </w:rPr>
            </w:pPr>
          </w:p>
        </w:tc>
        <w:tc>
          <w:tcPr>
            <w:tcW w:w="1885" w:type="dxa"/>
          </w:tcPr>
          <w:p w:rsidR="00D72414" w:rsidRDefault="00D72414">
            <w:pPr>
              <w:jc w:val="both"/>
              <w:rPr>
                <w:rFonts w:ascii="Arial" w:eastAsia="Arial" w:hAnsi="Arial" w:cs="Arial"/>
                <w:b/>
                <w:sz w:val="20"/>
                <w:szCs w:val="20"/>
              </w:rPr>
            </w:pPr>
          </w:p>
        </w:tc>
        <w:tc>
          <w:tcPr>
            <w:tcW w:w="1752" w:type="dxa"/>
          </w:tcPr>
          <w:p w:rsidR="00D72414" w:rsidRDefault="00D72414">
            <w:pPr>
              <w:jc w:val="both"/>
              <w:rPr>
                <w:rFonts w:ascii="Arial" w:eastAsia="Arial" w:hAnsi="Arial" w:cs="Arial"/>
                <w:b/>
                <w:sz w:val="20"/>
                <w:szCs w:val="20"/>
              </w:rPr>
            </w:pPr>
          </w:p>
        </w:tc>
      </w:tr>
      <w:tr w:rsidR="00D72414">
        <w:trPr>
          <w:trHeight w:val="473"/>
        </w:trPr>
        <w:tc>
          <w:tcPr>
            <w:tcW w:w="4628" w:type="dxa"/>
          </w:tcPr>
          <w:p w:rsidR="00D72414" w:rsidRDefault="00C0362E">
            <w:pPr>
              <w:numPr>
                <w:ilvl w:val="0"/>
                <w:numId w:val="28"/>
              </w:numPr>
              <w:pBdr>
                <w:top w:val="nil"/>
                <w:left w:val="nil"/>
                <w:bottom w:val="nil"/>
                <w:right w:val="nil"/>
                <w:between w:val="nil"/>
              </w:pBdr>
              <w:ind w:left="372"/>
              <w:jc w:val="both"/>
              <w:rPr>
                <w:rFonts w:ascii="Arial" w:eastAsia="Arial" w:hAnsi="Arial" w:cs="Arial"/>
                <w:b/>
                <w:sz w:val="20"/>
                <w:szCs w:val="20"/>
              </w:rPr>
            </w:pPr>
            <w:r>
              <w:rPr>
                <w:rFonts w:ascii="Arial" w:eastAsia="Arial" w:hAnsi="Arial" w:cs="Arial"/>
                <w:b/>
                <w:sz w:val="20"/>
                <w:szCs w:val="20"/>
              </w:rPr>
              <w:t>CRA Data (the total fee for your proposed optimal solution)</w:t>
            </w:r>
          </w:p>
        </w:tc>
        <w:tc>
          <w:tcPr>
            <w:tcW w:w="1347" w:type="dxa"/>
          </w:tcPr>
          <w:p w:rsidR="00D72414" w:rsidRDefault="00D72414">
            <w:pPr>
              <w:jc w:val="both"/>
              <w:rPr>
                <w:rFonts w:ascii="Arial" w:eastAsia="Arial" w:hAnsi="Arial" w:cs="Arial"/>
                <w:b/>
                <w:sz w:val="20"/>
                <w:szCs w:val="20"/>
              </w:rPr>
            </w:pPr>
          </w:p>
        </w:tc>
        <w:tc>
          <w:tcPr>
            <w:tcW w:w="1347" w:type="dxa"/>
          </w:tcPr>
          <w:p w:rsidR="00D72414" w:rsidRDefault="00C0362E">
            <w:pPr>
              <w:jc w:val="both"/>
              <w:rPr>
                <w:rFonts w:ascii="Arial" w:eastAsia="Arial" w:hAnsi="Arial" w:cs="Arial"/>
                <w:b/>
                <w:sz w:val="20"/>
                <w:szCs w:val="20"/>
              </w:rPr>
            </w:pPr>
            <w:r>
              <w:rPr>
                <w:rFonts w:ascii="Arial" w:eastAsia="Arial" w:hAnsi="Arial" w:cs="Arial"/>
                <w:b/>
                <w:sz w:val="20"/>
                <w:szCs w:val="20"/>
              </w:rPr>
              <w:t>N/A</w:t>
            </w:r>
          </w:p>
        </w:tc>
        <w:tc>
          <w:tcPr>
            <w:tcW w:w="1616" w:type="dxa"/>
          </w:tcPr>
          <w:p w:rsidR="00D72414" w:rsidRDefault="00D72414">
            <w:pPr>
              <w:jc w:val="both"/>
              <w:rPr>
                <w:rFonts w:ascii="Arial" w:eastAsia="Arial" w:hAnsi="Arial" w:cs="Arial"/>
                <w:b/>
                <w:sz w:val="20"/>
                <w:szCs w:val="20"/>
              </w:rPr>
            </w:pPr>
          </w:p>
        </w:tc>
        <w:tc>
          <w:tcPr>
            <w:tcW w:w="1751" w:type="dxa"/>
          </w:tcPr>
          <w:p w:rsidR="00D72414" w:rsidRDefault="00D72414">
            <w:pPr>
              <w:jc w:val="both"/>
              <w:rPr>
                <w:rFonts w:ascii="Arial" w:eastAsia="Arial" w:hAnsi="Arial" w:cs="Arial"/>
                <w:b/>
                <w:sz w:val="20"/>
                <w:szCs w:val="20"/>
              </w:rPr>
            </w:pPr>
          </w:p>
        </w:tc>
        <w:tc>
          <w:tcPr>
            <w:tcW w:w="1885" w:type="dxa"/>
          </w:tcPr>
          <w:p w:rsidR="00D72414" w:rsidRDefault="00D72414">
            <w:pPr>
              <w:jc w:val="both"/>
              <w:rPr>
                <w:rFonts w:ascii="Arial" w:eastAsia="Arial" w:hAnsi="Arial" w:cs="Arial"/>
                <w:b/>
                <w:sz w:val="20"/>
                <w:szCs w:val="20"/>
              </w:rPr>
            </w:pPr>
          </w:p>
        </w:tc>
        <w:tc>
          <w:tcPr>
            <w:tcW w:w="1752" w:type="dxa"/>
          </w:tcPr>
          <w:p w:rsidR="00D72414" w:rsidRDefault="00D72414">
            <w:pPr>
              <w:jc w:val="both"/>
              <w:rPr>
                <w:rFonts w:ascii="Arial" w:eastAsia="Arial" w:hAnsi="Arial" w:cs="Arial"/>
                <w:b/>
                <w:sz w:val="20"/>
                <w:szCs w:val="20"/>
              </w:rPr>
            </w:pPr>
          </w:p>
        </w:tc>
      </w:tr>
      <w:tr w:rsidR="00D72414">
        <w:trPr>
          <w:trHeight w:val="709"/>
        </w:trPr>
        <w:tc>
          <w:tcPr>
            <w:tcW w:w="4628" w:type="dxa"/>
          </w:tcPr>
          <w:p w:rsidR="00D72414" w:rsidRDefault="00C0362E">
            <w:pPr>
              <w:numPr>
                <w:ilvl w:val="0"/>
                <w:numId w:val="28"/>
              </w:numPr>
              <w:pBdr>
                <w:top w:val="nil"/>
                <w:left w:val="nil"/>
                <w:bottom w:val="nil"/>
                <w:right w:val="nil"/>
                <w:between w:val="nil"/>
              </w:pBdr>
              <w:ind w:left="372"/>
              <w:jc w:val="both"/>
              <w:rPr>
                <w:rFonts w:ascii="Arial" w:eastAsia="Arial" w:hAnsi="Arial" w:cs="Arial"/>
                <w:b/>
                <w:sz w:val="20"/>
                <w:szCs w:val="20"/>
              </w:rPr>
            </w:pPr>
            <w:r>
              <w:rPr>
                <w:rFonts w:ascii="Arial" w:eastAsia="Arial" w:hAnsi="Arial" w:cs="Arial"/>
                <w:b/>
                <w:sz w:val="20"/>
                <w:szCs w:val="20"/>
              </w:rPr>
              <w:t>Personal Cash-flow Forecast (total fee for the utilisation of all available data to produce the Cash-flow forecast)</w:t>
            </w:r>
          </w:p>
        </w:tc>
        <w:tc>
          <w:tcPr>
            <w:tcW w:w="1347" w:type="dxa"/>
          </w:tcPr>
          <w:p w:rsidR="00D72414" w:rsidRDefault="00D72414">
            <w:pPr>
              <w:jc w:val="both"/>
              <w:rPr>
                <w:rFonts w:ascii="Arial" w:eastAsia="Arial" w:hAnsi="Arial" w:cs="Arial"/>
                <w:b/>
                <w:sz w:val="20"/>
                <w:szCs w:val="20"/>
              </w:rPr>
            </w:pPr>
          </w:p>
        </w:tc>
        <w:tc>
          <w:tcPr>
            <w:tcW w:w="1347" w:type="dxa"/>
          </w:tcPr>
          <w:p w:rsidR="00D72414" w:rsidRDefault="00C0362E">
            <w:pPr>
              <w:jc w:val="both"/>
              <w:rPr>
                <w:rFonts w:ascii="Arial" w:eastAsia="Arial" w:hAnsi="Arial" w:cs="Arial"/>
                <w:b/>
                <w:sz w:val="20"/>
                <w:szCs w:val="20"/>
              </w:rPr>
            </w:pPr>
            <w:r>
              <w:rPr>
                <w:rFonts w:ascii="Arial" w:eastAsia="Arial" w:hAnsi="Arial" w:cs="Arial"/>
                <w:b/>
                <w:sz w:val="20"/>
                <w:szCs w:val="20"/>
              </w:rPr>
              <w:t>N/A</w:t>
            </w:r>
          </w:p>
        </w:tc>
        <w:tc>
          <w:tcPr>
            <w:tcW w:w="1616" w:type="dxa"/>
          </w:tcPr>
          <w:p w:rsidR="00D72414" w:rsidRDefault="00D72414">
            <w:pPr>
              <w:jc w:val="both"/>
              <w:rPr>
                <w:rFonts w:ascii="Arial" w:eastAsia="Arial" w:hAnsi="Arial" w:cs="Arial"/>
                <w:b/>
                <w:sz w:val="20"/>
                <w:szCs w:val="20"/>
              </w:rPr>
            </w:pPr>
          </w:p>
        </w:tc>
        <w:tc>
          <w:tcPr>
            <w:tcW w:w="1751" w:type="dxa"/>
          </w:tcPr>
          <w:p w:rsidR="00D72414" w:rsidRDefault="00D72414">
            <w:pPr>
              <w:jc w:val="both"/>
              <w:rPr>
                <w:rFonts w:ascii="Arial" w:eastAsia="Arial" w:hAnsi="Arial" w:cs="Arial"/>
                <w:b/>
                <w:sz w:val="20"/>
                <w:szCs w:val="20"/>
              </w:rPr>
            </w:pPr>
          </w:p>
        </w:tc>
        <w:tc>
          <w:tcPr>
            <w:tcW w:w="1885" w:type="dxa"/>
          </w:tcPr>
          <w:p w:rsidR="00D72414" w:rsidRDefault="00D72414">
            <w:pPr>
              <w:jc w:val="both"/>
              <w:rPr>
                <w:rFonts w:ascii="Arial" w:eastAsia="Arial" w:hAnsi="Arial" w:cs="Arial"/>
                <w:b/>
                <w:sz w:val="20"/>
                <w:szCs w:val="20"/>
              </w:rPr>
            </w:pPr>
          </w:p>
        </w:tc>
        <w:tc>
          <w:tcPr>
            <w:tcW w:w="1752" w:type="dxa"/>
          </w:tcPr>
          <w:p w:rsidR="00D72414" w:rsidRDefault="00D72414">
            <w:pPr>
              <w:jc w:val="both"/>
              <w:rPr>
                <w:rFonts w:ascii="Arial" w:eastAsia="Arial" w:hAnsi="Arial" w:cs="Arial"/>
                <w:b/>
                <w:sz w:val="20"/>
                <w:szCs w:val="20"/>
              </w:rPr>
            </w:pPr>
          </w:p>
        </w:tc>
      </w:tr>
    </w:tbl>
    <w:p w:rsidR="00D72414" w:rsidRDefault="00D72414">
      <w:pPr>
        <w:pBdr>
          <w:top w:val="nil"/>
          <w:left w:val="nil"/>
          <w:bottom w:val="nil"/>
          <w:right w:val="nil"/>
          <w:between w:val="nil"/>
        </w:pBdr>
        <w:spacing w:before="240"/>
        <w:ind w:left="794"/>
        <w:jc w:val="both"/>
        <w:rPr>
          <w:rFonts w:ascii="Arial" w:eastAsia="Arial" w:hAnsi="Arial" w:cs="Arial"/>
          <w:b/>
          <w:sz w:val="20"/>
          <w:szCs w:val="20"/>
        </w:rPr>
      </w:pPr>
    </w:p>
    <w:p w:rsidR="00D72414" w:rsidRDefault="00D72414">
      <w:pPr>
        <w:pBdr>
          <w:top w:val="nil"/>
          <w:left w:val="nil"/>
          <w:bottom w:val="nil"/>
          <w:right w:val="nil"/>
          <w:between w:val="nil"/>
        </w:pBdr>
        <w:spacing w:before="240"/>
        <w:ind w:left="794"/>
        <w:jc w:val="both"/>
        <w:rPr>
          <w:rFonts w:ascii="Arial" w:eastAsia="Arial" w:hAnsi="Arial" w:cs="Arial"/>
          <w:b/>
          <w:sz w:val="20"/>
          <w:szCs w:val="20"/>
        </w:rPr>
      </w:pPr>
    </w:p>
    <w:p w:rsidR="00D72414" w:rsidRDefault="00D72414">
      <w:pPr>
        <w:pBdr>
          <w:top w:val="nil"/>
          <w:left w:val="nil"/>
          <w:bottom w:val="nil"/>
          <w:right w:val="nil"/>
          <w:between w:val="nil"/>
        </w:pBdr>
        <w:spacing w:before="240"/>
        <w:ind w:left="794"/>
        <w:jc w:val="both"/>
        <w:rPr>
          <w:rFonts w:ascii="Arial" w:eastAsia="Arial" w:hAnsi="Arial" w:cs="Arial"/>
          <w:b/>
          <w:sz w:val="20"/>
          <w:szCs w:val="20"/>
        </w:rPr>
      </w:pPr>
    </w:p>
    <w:p w:rsidR="00D72414" w:rsidRDefault="00C0362E">
      <w:pPr>
        <w:pBdr>
          <w:top w:val="nil"/>
          <w:left w:val="nil"/>
          <w:bottom w:val="nil"/>
          <w:right w:val="nil"/>
          <w:between w:val="nil"/>
        </w:pBdr>
        <w:spacing w:before="240"/>
        <w:ind w:left="709"/>
        <w:jc w:val="both"/>
        <w:rPr>
          <w:rFonts w:ascii="Arial" w:eastAsia="Arial" w:hAnsi="Arial" w:cs="Arial"/>
          <w:b/>
          <w:color w:val="000000"/>
          <w:sz w:val="20"/>
          <w:szCs w:val="20"/>
        </w:rPr>
      </w:pPr>
      <w:r>
        <w:rPr>
          <w:rFonts w:ascii="Arial" w:eastAsia="Arial" w:hAnsi="Arial" w:cs="Arial"/>
          <w:b/>
          <w:sz w:val="20"/>
          <w:szCs w:val="20"/>
        </w:rPr>
        <w:t xml:space="preserve">License Fee Option </w:t>
      </w:r>
    </w:p>
    <w:p w:rsidR="00D72414" w:rsidRDefault="00C0362E">
      <w:pPr>
        <w:numPr>
          <w:ilvl w:val="1"/>
          <w:numId w:val="23"/>
        </w:numPr>
        <w:pBdr>
          <w:top w:val="nil"/>
          <w:left w:val="nil"/>
          <w:bottom w:val="nil"/>
          <w:right w:val="nil"/>
          <w:between w:val="nil"/>
        </w:pBdr>
        <w:spacing w:before="240"/>
        <w:ind w:left="709" w:hanging="709"/>
        <w:jc w:val="both"/>
        <w:rPr>
          <w:rFonts w:ascii="Arial" w:eastAsia="Arial" w:hAnsi="Arial" w:cs="Arial"/>
          <w:sz w:val="20"/>
          <w:szCs w:val="20"/>
        </w:rPr>
      </w:pPr>
      <w:r>
        <w:rPr>
          <w:rFonts w:ascii="Arial" w:eastAsia="Arial" w:hAnsi="Arial" w:cs="Arial"/>
          <w:sz w:val="20"/>
          <w:szCs w:val="20"/>
        </w:rPr>
        <w:t>This Service should also be priced on a license fee basis whereby the Supplier provides a list of products and / or Services that can be delivered to Buyers that meet the requirements of URN 3.0 and satisfies the Specification requirements in Framework Schedule 1 (Specification), and provides a price per license for on-line access to these products and / or Services, in line with the license volume bands outlined in URN 3.0 Table 2 below.</w:t>
      </w:r>
    </w:p>
    <w:p w:rsidR="00D72414" w:rsidRDefault="00C0362E">
      <w:pPr>
        <w:numPr>
          <w:ilvl w:val="1"/>
          <w:numId w:val="23"/>
        </w:numPr>
        <w:pBdr>
          <w:top w:val="nil"/>
          <w:left w:val="nil"/>
          <w:bottom w:val="nil"/>
          <w:right w:val="nil"/>
          <w:between w:val="nil"/>
        </w:pBdr>
        <w:spacing w:before="240"/>
        <w:ind w:left="709" w:hanging="709"/>
        <w:jc w:val="both"/>
        <w:rPr>
          <w:rFonts w:ascii="Arial" w:eastAsia="Arial" w:hAnsi="Arial" w:cs="Arial"/>
          <w:sz w:val="20"/>
          <w:szCs w:val="20"/>
        </w:rPr>
      </w:pPr>
      <w:r>
        <w:rPr>
          <w:rFonts w:ascii="Arial" w:eastAsia="Arial" w:hAnsi="Arial" w:cs="Arial"/>
          <w:sz w:val="20"/>
          <w:szCs w:val="20"/>
        </w:rPr>
        <w:t xml:space="preserve">It is at the Buyers sole discretion which license it may select based Framework Pricing options set out in URN 3.0a Table 1 above.  </w:t>
      </w:r>
    </w:p>
    <w:p w:rsidR="00D72414" w:rsidRDefault="00C0362E">
      <w:pPr>
        <w:numPr>
          <w:ilvl w:val="1"/>
          <w:numId w:val="23"/>
        </w:numPr>
        <w:pBdr>
          <w:top w:val="nil"/>
          <w:left w:val="nil"/>
          <w:bottom w:val="nil"/>
          <w:right w:val="nil"/>
          <w:between w:val="nil"/>
        </w:pBdr>
        <w:spacing w:before="240"/>
        <w:ind w:left="709" w:hanging="709"/>
        <w:jc w:val="both"/>
        <w:rPr>
          <w:rFonts w:ascii="Arial" w:eastAsia="Arial" w:hAnsi="Arial" w:cs="Arial"/>
          <w:sz w:val="20"/>
          <w:szCs w:val="20"/>
        </w:rPr>
      </w:pPr>
      <w:r>
        <w:rPr>
          <w:rFonts w:ascii="Arial" w:eastAsia="Arial" w:hAnsi="Arial" w:cs="Arial"/>
          <w:sz w:val="20"/>
          <w:szCs w:val="20"/>
        </w:rPr>
        <w:t>The Buyer will specify the volume of licenses that they intend to use within their Call-Off Contract. The Buyer may change this forecast at any time in accordance with the Variation Procedure.</w:t>
      </w:r>
    </w:p>
    <w:p w:rsidR="00D72414" w:rsidRDefault="00C0362E">
      <w:pPr>
        <w:numPr>
          <w:ilvl w:val="1"/>
          <w:numId w:val="23"/>
        </w:numPr>
        <w:pBdr>
          <w:top w:val="nil"/>
          <w:left w:val="nil"/>
          <w:bottom w:val="nil"/>
          <w:right w:val="nil"/>
          <w:between w:val="nil"/>
        </w:pBdr>
        <w:spacing w:before="240"/>
        <w:ind w:left="709" w:hanging="709"/>
        <w:jc w:val="both"/>
      </w:pPr>
      <w:r>
        <w:rPr>
          <w:rFonts w:ascii="Arial" w:eastAsia="Arial" w:hAnsi="Arial" w:cs="Arial"/>
          <w:sz w:val="20"/>
          <w:szCs w:val="20"/>
        </w:rPr>
        <w:t xml:space="preserve">The Charges for the </w:t>
      </w:r>
      <w:proofErr w:type="gramStart"/>
      <w:r>
        <w:rPr>
          <w:rFonts w:ascii="Arial" w:eastAsia="Arial" w:hAnsi="Arial" w:cs="Arial"/>
          <w:sz w:val="20"/>
          <w:szCs w:val="20"/>
        </w:rPr>
        <w:t>license based</w:t>
      </w:r>
      <w:proofErr w:type="gramEnd"/>
      <w:r>
        <w:rPr>
          <w:rFonts w:ascii="Arial" w:eastAsia="Arial" w:hAnsi="Arial" w:cs="Arial"/>
          <w:sz w:val="20"/>
          <w:szCs w:val="20"/>
        </w:rPr>
        <w:t xml:space="preserve"> Framework Pricing option will be calculated as follows:</w:t>
      </w:r>
    </w:p>
    <w:p w:rsidR="00D72414" w:rsidRDefault="00C0362E">
      <w:pPr>
        <w:numPr>
          <w:ilvl w:val="0"/>
          <w:numId w:val="5"/>
        </w:numPr>
        <w:pBdr>
          <w:top w:val="nil"/>
          <w:left w:val="nil"/>
          <w:bottom w:val="nil"/>
          <w:right w:val="nil"/>
          <w:between w:val="nil"/>
        </w:pBdr>
        <w:spacing w:before="240"/>
        <w:jc w:val="both"/>
        <w:rPr>
          <w:rFonts w:ascii="Arial" w:eastAsia="Arial" w:hAnsi="Arial" w:cs="Arial"/>
          <w:color w:val="000000"/>
          <w:sz w:val="20"/>
          <w:szCs w:val="20"/>
        </w:rPr>
      </w:pPr>
      <w:r>
        <w:rPr>
          <w:rFonts w:ascii="Arial" w:eastAsia="Arial" w:hAnsi="Arial" w:cs="Arial"/>
          <w:b/>
          <w:color w:val="000000"/>
          <w:sz w:val="20"/>
          <w:szCs w:val="20"/>
        </w:rPr>
        <w:t>Set-Up Costs</w:t>
      </w:r>
      <w:r>
        <w:rPr>
          <w:rFonts w:ascii="Arial" w:eastAsia="Arial" w:hAnsi="Arial" w:cs="Arial"/>
          <w:color w:val="000000"/>
          <w:sz w:val="20"/>
          <w:szCs w:val="20"/>
        </w:rPr>
        <w:t xml:space="preserve"> – a one-off payment to cover Buyer specific costs of establishing the Service, that shall only be charges once per Buyer</w:t>
      </w:r>
    </w:p>
    <w:p w:rsidR="00D72414" w:rsidRDefault="00C0362E">
      <w:pPr>
        <w:numPr>
          <w:ilvl w:val="0"/>
          <w:numId w:val="5"/>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b/>
          <w:color w:val="000000"/>
          <w:sz w:val="20"/>
          <w:szCs w:val="20"/>
        </w:rPr>
        <w:t>Unit Price Fees</w:t>
      </w:r>
      <w:r>
        <w:rPr>
          <w:rFonts w:ascii="Arial" w:eastAsia="Arial" w:hAnsi="Arial" w:cs="Arial"/>
          <w:color w:val="000000"/>
          <w:sz w:val="20"/>
          <w:szCs w:val="20"/>
        </w:rPr>
        <w:t xml:space="preserve"> – Monthly usage fees based on Buyer’s forecast usage of the Services</w:t>
      </w:r>
    </w:p>
    <w:p w:rsidR="00D72414" w:rsidRDefault="00C0362E">
      <w:pPr>
        <w:numPr>
          <w:ilvl w:val="1"/>
          <w:numId w:val="23"/>
        </w:numPr>
        <w:pBdr>
          <w:top w:val="nil"/>
          <w:left w:val="nil"/>
          <w:bottom w:val="nil"/>
          <w:right w:val="nil"/>
          <w:between w:val="nil"/>
        </w:pBdr>
        <w:spacing w:before="240"/>
        <w:jc w:val="both"/>
      </w:pPr>
      <w:r>
        <w:rPr>
          <w:rFonts w:ascii="Arial" w:eastAsia="Arial" w:hAnsi="Arial" w:cs="Arial"/>
          <w:sz w:val="20"/>
          <w:szCs w:val="20"/>
        </w:rPr>
        <w:t>Unit Prices shall be based upon the banding range that the customers forecast places them in within URN 2.0 Table 3 below</w:t>
      </w:r>
    </w:p>
    <w:p w:rsidR="00D72414" w:rsidRDefault="00C0362E">
      <w:pPr>
        <w:numPr>
          <w:ilvl w:val="1"/>
          <w:numId w:val="23"/>
        </w:numPr>
        <w:pBdr>
          <w:top w:val="nil"/>
          <w:left w:val="nil"/>
          <w:bottom w:val="nil"/>
          <w:right w:val="nil"/>
          <w:between w:val="nil"/>
        </w:pBdr>
        <w:spacing w:before="240"/>
        <w:ind w:left="709" w:hanging="709"/>
        <w:jc w:val="both"/>
        <w:rPr>
          <w:rFonts w:ascii="Arial" w:eastAsia="Arial" w:hAnsi="Arial" w:cs="Arial"/>
          <w:b/>
          <w:color w:val="000000"/>
          <w:sz w:val="20"/>
          <w:szCs w:val="20"/>
        </w:rPr>
      </w:pPr>
      <w:r>
        <w:rPr>
          <w:rFonts w:ascii="Arial" w:eastAsia="Arial" w:hAnsi="Arial" w:cs="Arial"/>
          <w:color w:val="000000"/>
          <w:sz w:val="20"/>
          <w:szCs w:val="20"/>
        </w:rPr>
        <w:t>Unless otherwise agreed in writing with the Buyer, the Support Fees and License Fees are all-inclusive and encompasses all amounts required to be paid in respect of the Affordability Assessment and Monitoring Service.</w:t>
      </w:r>
    </w:p>
    <w:p w:rsidR="00D72414" w:rsidRDefault="00C0362E">
      <w:pPr>
        <w:numPr>
          <w:ilvl w:val="1"/>
          <w:numId w:val="23"/>
        </w:numPr>
        <w:pBdr>
          <w:top w:val="nil"/>
          <w:left w:val="nil"/>
          <w:bottom w:val="nil"/>
          <w:right w:val="nil"/>
          <w:between w:val="nil"/>
        </w:pBdr>
        <w:spacing w:before="240"/>
        <w:ind w:left="709" w:hanging="709"/>
        <w:jc w:val="both"/>
      </w:pPr>
      <w:r>
        <w:rPr>
          <w:rFonts w:ascii="Arial" w:eastAsia="Arial" w:hAnsi="Arial" w:cs="Arial"/>
          <w:color w:val="000000"/>
          <w:sz w:val="20"/>
          <w:szCs w:val="20"/>
        </w:rPr>
        <w:t xml:space="preserve">The License is set according to each Service or bundle of Services Ordered under URN 3.0b. Respective License Fees for Services (including where these are bundled) is set out under URN 3.0 Table 2 below. </w:t>
      </w:r>
    </w:p>
    <w:p w:rsidR="00D72414" w:rsidRDefault="00C0362E">
      <w:pPr>
        <w:numPr>
          <w:ilvl w:val="1"/>
          <w:numId w:val="23"/>
        </w:numPr>
        <w:pBdr>
          <w:top w:val="nil"/>
          <w:left w:val="nil"/>
          <w:bottom w:val="nil"/>
          <w:right w:val="nil"/>
          <w:between w:val="nil"/>
        </w:pBdr>
        <w:spacing w:before="240"/>
        <w:ind w:left="709" w:hanging="709"/>
        <w:jc w:val="both"/>
      </w:pPr>
      <w:r>
        <w:rPr>
          <w:rFonts w:ascii="Arial" w:eastAsia="Arial" w:hAnsi="Arial" w:cs="Arial"/>
          <w:sz w:val="20"/>
          <w:szCs w:val="20"/>
        </w:rPr>
        <w:t>The Set-Up Cost shall only be charged once each Buyer has Ordered the Service and shall be on an Open Book Costs basis. Set-Up Costs shall only cover new requirements, development and configuration costs. Suppliers shall not charge Buyers a Set-Up Cost for the use of any existing infrastructure or capability that existed prior to the Framework Start Date or the Call-Off Start Date.</w:t>
      </w:r>
    </w:p>
    <w:p w:rsidR="00D72414" w:rsidRDefault="00C0362E">
      <w:pPr>
        <w:numPr>
          <w:ilvl w:val="1"/>
          <w:numId w:val="23"/>
        </w:numPr>
        <w:pBdr>
          <w:top w:val="nil"/>
          <w:left w:val="nil"/>
          <w:bottom w:val="nil"/>
          <w:right w:val="nil"/>
          <w:between w:val="nil"/>
        </w:pBdr>
        <w:spacing w:before="240"/>
        <w:ind w:left="709" w:hanging="709"/>
        <w:jc w:val="both"/>
      </w:pPr>
      <w:r>
        <w:rPr>
          <w:rFonts w:ascii="Arial" w:eastAsia="Arial" w:hAnsi="Arial" w:cs="Arial"/>
          <w:sz w:val="20"/>
          <w:szCs w:val="20"/>
        </w:rPr>
        <w:t xml:space="preserve">The Charges will be on an Open Book Basis and the Supplier shall demonstrate how any cost reduction from not providing the full service at URN3.0 has been </w:t>
      </w:r>
      <w:proofErr w:type="gramStart"/>
      <w:r>
        <w:rPr>
          <w:rFonts w:ascii="Arial" w:eastAsia="Arial" w:hAnsi="Arial" w:cs="Arial"/>
          <w:sz w:val="20"/>
          <w:szCs w:val="20"/>
        </w:rPr>
        <w:t>taken into account</w:t>
      </w:r>
      <w:proofErr w:type="gramEnd"/>
      <w:r>
        <w:rPr>
          <w:rFonts w:ascii="Arial" w:eastAsia="Arial" w:hAnsi="Arial" w:cs="Arial"/>
          <w:sz w:val="20"/>
          <w:szCs w:val="20"/>
        </w:rPr>
        <w:t xml:space="preserve"> when pricing this Service for Buyers.</w:t>
      </w:r>
    </w:p>
    <w:p w:rsidR="00D72414" w:rsidRDefault="00C0362E">
      <w:pPr>
        <w:numPr>
          <w:ilvl w:val="1"/>
          <w:numId w:val="23"/>
        </w:numPr>
        <w:pBdr>
          <w:top w:val="nil"/>
          <w:left w:val="nil"/>
          <w:bottom w:val="nil"/>
          <w:right w:val="nil"/>
          <w:between w:val="nil"/>
        </w:pBdr>
        <w:spacing w:before="240"/>
        <w:ind w:left="709" w:hanging="709"/>
        <w:jc w:val="both"/>
      </w:pPr>
      <w:r>
        <w:rPr>
          <w:rFonts w:ascii="Arial" w:eastAsia="Arial" w:hAnsi="Arial" w:cs="Arial"/>
          <w:sz w:val="20"/>
          <w:szCs w:val="20"/>
        </w:rPr>
        <w:t>Where the Supplier restricts the volume or type of reports / data or action to be delivered within the scope of a license and the Buyer exceeds that scope, the Charges for any excess usage shall be calculated Monthly usage of that activity category or product or service s set out in URN 3.0 Tables 1 or 2, as agreed with the Buyer.</w:t>
      </w:r>
    </w:p>
    <w:p w:rsidR="00D72414" w:rsidRDefault="00D72414">
      <w:pPr>
        <w:pBdr>
          <w:top w:val="nil"/>
          <w:left w:val="nil"/>
          <w:bottom w:val="nil"/>
          <w:right w:val="nil"/>
          <w:between w:val="nil"/>
        </w:pBdr>
        <w:spacing w:before="240"/>
        <w:ind w:left="709"/>
        <w:jc w:val="both"/>
      </w:pPr>
    </w:p>
    <w:p w:rsidR="00D72414" w:rsidRDefault="00C0362E">
      <w:pPr>
        <w:numPr>
          <w:ilvl w:val="1"/>
          <w:numId w:val="23"/>
        </w:numPr>
        <w:pBdr>
          <w:top w:val="nil"/>
          <w:left w:val="nil"/>
          <w:bottom w:val="nil"/>
          <w:right w:val="nil"/>
          <w:between w:val="nil"/>
        </w:pBdr>
        <w:spacing w:before="240"/>
        <w:ind w:left="709" w:hanging="709"/>
        <w:jc w:val="both"/>
      </w:pPr>
      <w:r>
        <w:rPr>
          <w:rFonts w:ascii="Arial" w:eastAsia="Arial" w:hAnsi="Arial" w:cs="Arial"/>
          <w:b/>
          <w:sz w:val="20"/>
          <w:szCs w:val="20"/>
        </w:rPr>
        <w:t>OPTIONAL SERVICES</w:t>
      </w:r>
    </w:p>
    <w:p w:rsidR="00D72414" w:rsidRDefault="00C0362E">
      <w:pPr>
        <w:numPr>
          <w:ilvl w:val="1"/>
          <w:numId w:val="23"/>
        </w:numPr>
        <w:pBdr>
          <w:top w:val="nil"/>
          <w:left w:val="nil"/>
          <w:bottom w:val="nil"/>
          <w:right w:val="nil"/>
          <w:between w:val="nil"/>
        </w:pBdr>
        <w:spacing w:before="240"/>
        <w:ind w:left="709" w:hanging="709"/>
        <w:jc w:val="both"/>
      </w:pPr>
      <w:r>
        <w:rPr>
          <w:rFonts w:ascii="Arial" w:eastAsia="Arial" w:hAnsi="Arial" w:cs="Arial"/>
          <w:sz w:val="20"/>
          <w:szCs w:val="20"/>
        </w:rPr>
        <w:t>Where the Supplier has chosen to provide a list of products, Services and solutions as “Optional Services”, the Supplier shall provide a</w:t>
      </w:r>
      <w:r>
        <w:rPr>
          <w:rFonts w:ascii="Arial" w:eastAsia="Arial" w:hAnsi="Arial" w:cs="Arial"/>
          <w:color w:val="FF0000"/>
          <w:sz w:val="20"/>
          <w:szCs w:val="20"/>
        </w:rPr>
        <w:t xml:space="preserve"> </w:t>
      </w:r>
      <w:r>
        <w:rPr>
          <w:rFonts w:ascii="Arial" w:eastAsia="Arial" w:hAnsi="Arial" w:cs="Arial"/>
          <w:sz w:val="20"/>
          <w:szCs w:val="20"/>
        </w:rPr>
        <w:t>pricing schedule for those products, Services and solutions and that pricing shall be included in Part D Annex 1 to this Schedule and shall form part of this Framework Contract.</w:t>
      </w:r>
    </w:p>
    <w:p w:rsidR="00D72414" w:rsidRDefault="00D72414">
      <w:pPr>
        <w:pBdr>
          <w:top w:val="nil"/>
          <w:left w:val="nil"/>
          <w:bottom w:val="nil"/>
          <w:right w:val="nil"/>
          <w:between w:val="nil"/>
        </w:pBdr>
        <w:spacing w:before="240"/>
        <w:ind w:left="794"/>
        <w:jc w:val="both"/>
      </w:pPr>
    </w:p>
    <w:p w:rsidR="00D72414" w:rsidRDefault="00D72414">
      <w:pPr>
        <w:pBdr>
          <w:top w:val="nil"/>
          <w:left w:val="nil"/>
          <w:bottom w:val="nil"/>
          <w:right w:val="nil"/>
          <w:between w:val="nil"/>
        </w:pBdr>
        <w:ind w:left="794"/>
        <w:jc w:val="both"/>
        <w:rPr>
          <w:rFonts w:ascii="Arial" w:eastAsia="Arial" w:hAnsi="Arial" w:cs="Arial"/>
          <w:b/>
          <w:color w:val="FF0000"/>
          <w:sz w:val="22"/>
          <w:szCs w:val="22"/>
        </w:rPr>
      </w:pPr>
    </w:p>
    <w:p w:rsidR="00D72414" w:rsidRDefault="00C0362E">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URN 3.0b Table 2</w:t>
      </w:r>
    </w:p>
    <w:p w:rsidR="00D72414" w:rsidRDefault="00D72414">
      <w:pPr>
        <w:pBdr>
          <w:top w:val="nil"/>
          <w:left w:val="nil"/>
          <w:bottom w:val="nil"/>
          <w:right w:val="nil"/>
          <w:between w:val="nil"/>
        </w:pBdr>
        <w:rPr>
          <w:rFonts w:ascii="Arial" w:eastAsia="Arial" w:hAnsi="Arial" w:cs="Arial"/>
          <w:b/>
          <w:color w:val="000000"/>
          <w:sz w:val="22"/>
          <w:szCs w:val="22"/>
        </w:rPr>
      </w:pPr>
    </w:p>
    <w:tbl>
      <w:tblPr>
        <w:tblStyle w:val="affff5"/>
        <w:tblW w:w="14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5"/>
        <w:gridCol w:w="3668"/>
        <w:gridCol w:w="992"/>
        <w:gridCol w:w="1134"/>
        <w:gridCol w:w="1134"/>
        <w:gridCol w:w="1134"/>
        <w:gridCol w:w="1134"/>
        <w:gridCol w:w="1134"/>
        <w:gridCol w:w="1134"/>
        <w:gridCol w:w="1058"/>
        <w:gridCol w:w="992"/>
      </w:tblGrid>
      <w:tr w:rsidR="00D72414">
        <w:trPr>
          <w:trHeight w:val="104"/>
        </w:trPr>
        <w:tc>
          <w:tcPr>
            <w:tcW w:w="1005" w:type="dxa"/>
            <w:shd w:val="clear" w:color="auto" w:fill="BFBFBF"/>
            <w:vAlign w:val="center"/>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URN 3.0b </w:t>
            </w:r>
          </w:p>
        </w:tc>
        <w:tc>
          <w:tcPr>
            <w:tcW w:w="3668" w:type="dxa"/>
            <w:shd w:val="clear" w:color="auto" w:fill="BFBFBF"/>
            <w:vAlign w:val="center"/>
          </w:tcPr>
          <w:p w:rsidR="00D72414" w:rsidRDefault="00D72414">
            <w:pPr>
              <w:spacing w:before="120" w:after="120"/>
              <w:rPr>
                <w:rFonts w:ascii="Arial" w:eastAsia="Arial" w:hAnsi="Arial" w:cs="Arial"/>
                <w:b/>
                <w:sz w:val="18"/>
                <w:szCs w:val="18"/>
              </w:rPr>
            </w:pP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Volume Banding ID</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A</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B</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C</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D</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E</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F</w:t>
            </w:r>
          </w:p>
        </w:tc>
        <w:tc>
          <w:tcPr>
            <w:tcW w:w="1058"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G</w:t>
            </w: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H</w:t>
            </w:r>
          </w:p>
        </w:tc>
      </w:tr>
      <w:tr w:rsidR="00D72414">
        <w:trPr>
          <w:trHeight w:val="104"/>
        </w:trPr>
        <w:tc>
          <w:tcPr>
            <w:tcW w:w="1005" w:type="dxa"/>
            <w:shd w:val="clear" w:color="auto" w:fill="BFBFBF"/>
            <w:vAlign w:val="center"/>
          </w:tcPr>
          <w:p w:rsidR="00D72414" w:rsidRDefault="00C0362E">
            <w:pPr>
              <w:spacing w:before="120" w:after="120"/>
              <w:rPr>
                <w:rFonts w:ascii="Arial" w:eastAsia="Arial" w:hAnsi="Arial" w:cs="Arial"/>
                <w:b/>
                <w:sz w:val="18"/>
                <w:szCs w:val="18"/>
              </w:rPr>
            </w:pPr>
            <w:r>
              <w:rPr>
                <w:rFonts w:ascii="Arial" w:eastAsia="Arial" w:hAnsi="Arial" w:cs="Arial"/>
                <w:b/>
                <w:sz w:val="18"/>
                <w:szCs w:val="18"/>
              </w:rPr>
              <w:t>Service URN 3.0</w:t>
            </w:r>
          </w:p>
          <w:p w:rsidR="00D72414" w:rsidRDefault="00D72414">
            <w:pPr>
              <w:spacing w:before="120" w:after="120"/>
              <w:rPr>
                <w:rFonts w:ascii="Arial" w:eastAsia="Arial" w:hAnsi="Arial" w:cs="Arial"/>
                <w:b/>
                <w:sz w:val="18"/>
                <w:szCs w:val="18"/>
              </w:rPr>
            </w:pPr>
          </w:p>
        </w:tc>
        <w:tc>
          <w:tcPr>
            <w:tcW w:w="3668" w:type="dxa"/>
            <w:shd w:val="clear" w:color="auto" w:fill="BFBFBF"/>
            <w:vAlign w:val="center"/>
          </w:tcPr>
          <w:p w:rsidR="00D72414" w:rsidRDefault="00C0362E">
            <w:pPr>
              <w:spacing w:before="120" w:after="120"/>
              <w:rPr>
                <w:rFonts w:ascii="Arial" w:eastAsia="Arial" w:hAnsi="Arial" w:cs="Arial"/>
                <w:b/>
                <w:sz w:val="18"/>
                <w:szCs w:val="18"/>
              </w:rPr>
            </w:pPr>
            <w:r>
              <w:rPr>
                <w:rFonts w:ascii="Arial" w:eastAsia="Arial" w:hAnsi="Arial" w:cs="Arial"/>
                <w:b/>
                <w:sz w:val="18"/>
                <w:szCs w:val="18"/>
              </w:rPr>
              <w:t>Description</w:t>
            </w:r>
          </w:p>
        </w:tc>
        <w:tc>
          <w:tcPr>
            <w:tcW w:w="992" w:type="dxa"/>
            <w:shd w:val="clear" w:color="auto" w:fill="BFBFBF"/>
          </w:tcPr>
          <w:p w:rsidR="00D72414" w:rsidRDefault="00D72414">
            <w:pPr>
              <w:spacing w:before="120" w:after="120"/>
              <w:rPr>
                <w:rFonts w:ascii="Arial" w:eastAsia="Arial" w:hAnsi="Arial" w:cs="Arial"/>
                <w:b/>
                <w:sz w:val="18"/>
                <w:szCs w:val="18"/>
              </w:rPr>
            </w:pP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Volume Band (No of licences)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&lt;500</w:t>
            </w:r>
          </w:p>
          <w:p w:rsidR="00D72414" w:rsidRDefault="00D72414">
            <w:pPr>
              <w:spacing w:before="120" w:after="120"/>
              <w:rPr>
                <w:rFonts w:ascii="Arial" w:eastAsia="Arial" w:hAnsi="Arial" w:cs="Arial"/>
                <w:b/>
                <w:sz w:val="18"/>
                <w:szCs w:val="18"/>
              </w:rPr>
            </w:pP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Volume Band (No of licences)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501 - 750</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Volume Band (No licences)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&gt;751 – 1k</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Volume Band (No of licences)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&gt;1001 – 2k</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Volume Band (No of licences)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&gt;2001 – 3k</w:t>
            </w:r>
          </w:p>
        </w:tc>
        <w:tc>
          <w:tcPr>
            <w:tcW w:w="1134"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Volume Band (No of licences)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&gt;3001 – 4k</w:t>
            </w:r>
          </w:p>
        </w:tc>
        <w:tc>
          <w:tcPr>
            <w:tcW w:w="1058"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Volume Band (No of licences)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&gt;4001-5k</w:t>
            </w:r>
          </w:p>
        </w:tc>
        <w:tc>
          <w:tcPr>
            <w:tcW w:w="992" w:type="dxa"/>
            <w:shd w:val="clear" w:color="auto" w:fill="BFBFBF"/>
          </w:tcPr>
          <w:p w:rsidR="00D72414" w:rsidRDefault="00C0362E">
            <w:pPr>
              <w:spacing w:before="120" w:after="120"/>
              <w:rPr>
                <w:rFonts w:ascii="Arial" w:eastAsia="Arial" w:hAnsi="Arial" w:cs="Arial"/>
                <w:b/>
                <w:sz w:val="18"/>
                <w:szCs w:val="18"/>
              </w:rPr>
            </w:pPr>
            <w:r>
              <w:rPr>
                <w:rFonts w:ascii="Arial" w:eastAsia="Arial" w:hAnsi="Arial" w:cs="Arial"/>
                <w:b/>
                <w:sz w:val="18"/>
                <w:szCs w:val="18"/>
              </w:rPr>
              <w:t xml:space="preserve">Volume Band (No of licences) </w:t>
            </w:r>
          </w:p>
          <w:p w:rsidR="00D72414" w:rsidRDefault="00C0362E">
            <w:pPr>
              <w:spacing w:before="120" w:after="120"/>
              <w:rPr>
                <w:rFonts w:ascii="Arial" w:eastAsia="Arial" w:hAnsi="Arial" w:cs="Arial"/>
                <w:b/>
                <w:sz w:val="18"/>
                <w:szCs w:val="18"/>
              </w:rPr>
            </w:pPr>
            <w:r>
              <w:rPr>
                <w:rFonts w:ascii="Arial" w:eastAsia="Arial" w:hAnsi="Arial" w:cs="Arial"/>
                <w:b/>
                <w:sz w:val="18"/>
                <w:szCs w:val="18"/>
              </w:rPr>
              <w:t>&gt;5k</w:t>
            </w:r>
          </w:p>
        </w:tc>
      </w:tr>
      <w:tr w:rsidR="00D72414">
        <w:trPr>
          <w:trHeight w:val="104"/>
        </w:trPr>
        <w:tc>
          <w:tcPr>
            <w:tcW w:w="1005" w:type="dxa"/>
            <w:shd w:val="clear" w:color="auto" w:fill="auto"/>
            <w:vAlign w:val="center"/>
          </w:tcPr>
          <w:p w:rsidR="00D72414" w:rsidRDefault="00D72414">
            <w:pPr>
              <w:spacing w:before="120" w:after="120"/>
              <w:rPr>
                <w:rFonts w:ascii="Arial" w:eastAsia="Arial" w:hAnsi="Arial" w:cs="Arial"/>
                <w:b/>
                <w:sz w:val="18"/>
                <w:szCs w:val="18"/>
              </w:rPr>
            </w:pPr>
          </w:p>
        </w:tc>
        <w:tc>
          <w:tcPr>
            <w:tcW w:w="3668" w:type="dxa"/>
            <w:shd w:val="clear" w:color="auto" w:fill="auto"/>
            <w:vAlign w:val="center"/>
          </w:tcPr>
          <w:p w:rsidR="00D72414" w:rsidRDefault="00C0362E">
            <w:pPr>
              <w:spacing w:before="120" w:after="120"/>
              <w:rPr>
                <w:rFonts w:ascii="Arial" w:eastAsia="Arial" w:hAnsi="Arial" w:cs="Arial"/>
                <w:b/>
                <w:sz w:val="18"/>
                <w:szCs w:val="18"/>
              </w:rPr>
            </w:pPr>
            <w:r>
              <w:rPr>
                <w:rFonts w:ascii="Arial" w:eastAsia="Arial" w:hAnsi="Arial" w:cs="Arial"/>
                <w:b/>
                <w:sz w:val="18"/>
                <w:szCs w:val="18"/>
              </w:rPr>
              <w:t>Monthly Price per License</w:t>
            </w:r>
          </w:p>
        </w:tc>
        <w:tc>
          <w:tcPr>
            <w:tcW w:w="992"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058" w:type="dxa"/>
            <w:shd w:val="clear" w:color="auto" w:fill="auto"/>
          </w:tcPr>
          <w:p w:rsidR="00D72414" w:rsidRDefault="00D72414">
            <w:pPr>
              <w:spacing w:before="120" w:after="120"/>
              <w:rPr>
                <w:rFonts w:ascii="Arial" w:eastAsia="Arial" w:hAnsi="Arial" w:cs="Arial"/>
                <w:b/>
                <w:sz w:val="18"/>
                <w:szCs w:val="18"/>
              </w:rPr>
            </w:pPr>
          </w:p>
        </w:tc>
        <w:tc>
          <w:tcPr>
            <w:tcW w:w="992" w:type="dxa"/>
          </w:tcPr>
          <w:p w:rsidR="00D72414" w:rsidRDefault="00D72414">
            <w:pPr>
              <w:spacing w:before="120" w:after="120"/>
              <w:rPr>
                <w:rFonts w:ascii="Arial" w:eastAsia="Arial" w:hAnsi="Arial" w:cs="Arial"/>
                <w:b/>
                <w:sz w:val="18"/>
                <w:szCs w:val="18"/>
              </w:rPr>
            </w:pPr>
          </w:p>
        </w:tc>
      </w:tr>
      <w:tr w:rsidR="00D72414">
        <w:trPr>
          <w:trHeight w:val="104"/>
        </w:trPr>
        <w:tc>
          <w:tcPr>
            <w:tcW w:w="1005" w:type="dxa"/>
            <w:shd w:val="clear" w:color="auto" w:fill="auto"/>
            <w:vAlign w:val="center"/>
          </w:tcPr>
          <w:p w:rsidR="00D72414" w:rsidRDefault="00D72414">
            <w:pPr>
              <w:spacing w:before="120" w:after="120"/>
              <w:rPr>
                <w:rFonts w:ascii="Arial" w:eastAsia="Arial" w:hAnsi="Arial" w:cs="Arial"/>
                <w:b/>
                <w:sz w:val="18"/>
                <w:szCs w:val="18"/>
              </w:rPr>
            </w:pPr>
          </w:p>
        </w:tc>
        <w:tc>
          <w:tcPr>
            <w:tcW w:w="3668" w:type="dxa"/>
            <w:shd w:val="clear" w:color="auto" w:fill="auto"/>
            <w:vAlign w:val="center"/>
          </w:tcPr>
          <w:p w:rsidR="00D72414" w:rsidRDefault="00C0362E">
            <w:pPr>
              <w:spacing w:before="120" w:after="120"/>
              <w:rPr>
                <w:rFonts w:ascii="Arial" w:eastAsia="Arial" w:hAnsi="Arial" w:cs="Arial"/>
                <w:b/>
                <w:sz w:val="18"/>
                <w:szCs w:val="18"/>
              </w:rPr>
            </w:pPr>
            <w:r>
              <w:rPr>
                <w:rFonts w:ascii="Arial" w:eastAsia="Arial" w:hAnsi="Arial" w:cs="Arial"/>
                <w:b/>
                <w:sz w:val="18"/>
                <w:szCs w:val="18"/>
              </w:rPr>
              <w:t>Guidance</w:t>
            </w:r>
          </w:p>
        </w:tc>
        <w:tc>
          <w:tcPr>
            <w:tcW w:w="992"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C0362E">
            <w:pPr>
              <w:spacing w:before="120" w:after="120"/>
              <w:rPr>
                <w:rFonts w:ascii="Arial" w:eastAsia="Arial" w:hAnsi="Arial" w:cs="Arial"/>
                <w:b/>
                <w:sz w:val="18"/>
                <w:szCs w:val="18"/>
              </w:rPr>
            </w:pPr>
            <w:r>
              <w:rPr>
                <w:rFonts w:ascii="Arial" w:eastAsia="Arial" w:hAnsi="Arial" w:cs="Arial"/>
                <w:b/>
                <w:sz w:val="18"/>
                <w:szCs w:val="18"/>
              </w:rPr>
              <w:t>Must be less than previous band</w:t>
            </w:r>
          </w:p>
        </w:tc>
        <w:tc>
          <w:tcPr>
            <w:tcW w:w="1134" w:type="dxa"/>
            <w:shd w:val="clear" w:color="auto" w:fill="auto"/>
          </w:tcPr>
          <w:p w:rsidR="00D72414" w:rsidRDefault="00C0362E">
            <w:pPr>
              <w:spacing w:before="120" w:after="120"/>
              <w:rPr>
                <w:rFonts w:ascii="Arial" w:eastAsia="Arial" w:hAnsi="Arial" w:cs="Arial"/>
                <w:b/>
                <w:sz w:val="18"/>
                <w:szCs w:val="18"/>
              </w:rPr>
            </w:pPr>
            <w:r>
              <w:rPr>
                <w:rFonts w:ascii="Arial" w:eastAsia="Arial" w:hAnsi="Arial" w:cs="Arial"/>
                <w:b/>
                <w:sz w:val="18"/>
                <w:szCs w:val="18"/>
              </w:rPr>
              <w:t>Must be less than previous band</w:t>
            </w:r>
          </w:p>
        </w:tc>
        <w:tc>
          <w:tcPr>
            <w:tcW w:w="1134" w:type="dxa"/>
            <w:shd w:val="clear" w:color="auto" w:fill="auto"/>
          </w:tcPr>
          <w:p w:rsidR="00D72414" w:rsidRDefault="00C0362E">
            <w:pPr>
              <w:spacing w:before="120" w:after="120"/>
              <w:rPr>
                <w:rFonts w:ascii="Arial" w:eastAsia="Arial" w:hAnsi="Arial" w:cs="Arial"/>
                <w:b/>
                <w:sz w:val="18"/>
                <w:szCs w:val="18"/>
              </w:rPr>
            </w:pPr>
            <w:r>
              <w:rPr>
                <w:rFonts w:ascii="Arial" w:eastAsia="Arial" w:hAnsi="Arial" w:cs="Arial"/>
                <w:b/>
                <w:sz w:val="18"/>
                <w:szCs w:val="18"/>
              </w:rPr>
              <w:t>Must be less than previous band</w:t>
            </w:r>
          </w:p>
        </w:tc>
        <w:tc>
          <w:tcPr>
            <w:tcW w:w="1134" w:type="dxa"/>
            <w:shd w:val="clear" w:color="auto" w:fill="auto"/>
          </w:tcPr>
          <w:p w:rsidR="00D72414" w:rsidRDefault="00C0362E">
            <w:pPr>
              <w:spacing w:before="120" w:after="120"/>
              <w:rPr>
                <w:rFonts w:ascii="Arial" w:eastAsia="Arial" w:hAnsi="Arial" w:cs="Arial"/>
                <w:b/>
                <w:sz w:val="18"/>
                <w:szCs w:val="18"/>
              </w:rPr>
            </w:pPr>
            <w:r>
              <w:rPr>
                <w:rFonts w:ascii="Arial" w:eastAsia="Arial" w:hAnsi="Arial" w:cs="Arial"/>
                <w:b/>
                <w:sz w:val="18"/>
                <w:szCs w:val="18"/>
              </w:rPr>
              <w:t>Must be less than previous band</w:t>
            </w:r>
          </w:p>
        </w:tc>
        <w:tc>
          <w:tcPr>
            <w:tcW w:w="1134" w:type="dxa"/>
            <w:shd w:val="clear" w:color="auto" w:fill="auto"/>
          </w:tcPr>
          <w:p w:rsidR="00D72414" w:rsidRDefault="00C0362E">
            <w:pPr>
              <w:spacing w:before="120" w:after="120"/>
              <w:rPr>
                <w:rFonts w:ascii="Arial" w:eastAsia="Arial" w:hAnsi="Arial" w:cs="Arial"/>
                <w:b/>
                <w:sz w:val="18"/>
                <w:szCs w:val="18"/>
              </w:rPr>
            </w:pPr>
            <w:r>
              <w:rPr>
                <w:rFonts w:ascii="Arial" w:eastAsia="Arial" w:hAnsi="Arial" w:cs="Arial"/>
                <w:b/>
                <w:sz w:val="18"/>
                <w:szCs w:val="18"/>
              </w:rPr>
              <w:t>Must be less than previous band</w:t>
            </w:r>
          </w:p>
        </w:tc>
        <w:tc>
          <w:tcPr>
            <w:tcW w:w="1058" w:type="dxa"/>
            <w:shd w:val="clear" w:color="auto" w:fill="auto"/>
          </w:tcPr>
          <w:p w:rsidR="00D72414" w:rsidRDefault="00C0362E">
            <w:pPr>
              <w:spacing w:before="120" w:after="120"/>
              <w:rPr>
                <w:rFonts w:ascii="Arial" w:eastAsia="Arial" w:hAnsi="Arial" w:cs="Arial"/>
                <w:b/>
                <w:sz w:val="18"/>
                <w:szCs w:val="18"/>
              </w:rPr>
            </w:pPr>
            <w:r>
              <w:rPr>
                <w:rFonts w:ascii="Arial" w:eastAsia="Arial" w:hAnsi="Arial" w:cs="Arial"/>
                <w:b/>
                <w:sz w:val="18"/>
                <w:szCs w:val="18"/>
              </w:rPr>
              <w:t>Must be less than previous band</w:t>
            </w:r>
          </w:p>
        </w:tc>
        <w:tc>
          <w:tcPr>
            <w:tcW w:w="992" w:type="dxa"/>
          </w:tcPr>
          <w:p w:rsidR="00D72414" w:rsidRDefault="00C0362E">
            <w:pPr>
              <w:spacing w:before="120" w:after="120"/>
              <w:rPr>
                <w:rFonts w:ascii="Arial" w:eastAsia="Arial" w:hAnsi="Arial" w:cs="Arial"/>
                <w:b/>
                <w:sz w:val="18"/>
                <w:szCs w:val="18"/>
              </w:rPr>
            </w:pPr>
            <w:r>
              <w:rPr>
                <w:rFonts w:ascii="Arial" w:eastAsia="Arial" w:hAnsi="Arial" w:cs="Arial"/>
                <w:b/>
                <w:sz w:val="18"/>
                <w:szCs w:val="18"/>
              </w:rPr>
              <w:t>Must be less than previous band</w:t>
            </w:r>
          </w:p>
        </w:tc>
      </w:tr>
      <w:tr w:rsidR="00D72414">
        <w:trPr>
          <w:trHeight w:val="104"/>
        </w:trPr>
        <w:tc>
          <w:tcPr>
            <w:tcW w:w="1005" w:type="dxa"/>
            <w:shd w:val="clear" w:color="auto" w:fill="auto"/>
            <w:vAlign w:val="center"/>
          </w:tcPr>
          <w:p w:rsidR="00D72414" w:rsidRDefault="00C0362E">
            <w:pPr>
              <w:spacing w:before="120" w:after="120"/>
              <w:rPr>
                <w:rFonts w:ascii="Arial" w:eastAsia="Arial" w:hAnsi="Arial" w:cs="Arial"/>
                <w:b/>
                <w:sz w:val="18"/>
                <w:szCs w:val="18"/>
              </w:rPr>
            </w:pPr>
            <w:r>
              <w:rPr>
                <w:rFonts w:ascii="Arial" w:eastAsia="Arial" w:hAnsi="Arial" w:cs="Arial"/>
                <w:b/>
                <w:sz w:val="18"/>
                <w:szCs w:val="18"/>
              </w:rPr>
              <w:t>Product or Service Description</w:t>
            </w:r>
          </w:p>
        </w:tc>
        <w:tc>
          <w:tcPr>
            <w:tcW w:w="3668" w:type="dxa"/>
            <w:shd w:val="clear" w:color="auto" w:fill="auto"/>
            <w:vAlign w:val="center"/>
          </w:tcPr>
          <w:p w:rsidR="00D72414" w:rsidRDefault="00C0362E">
            <w:pPr>
              <w:spacing w:before="120" w:after="120"/>
              <w:rPr>
                <w:rFonts w:ascii="Arial" w:eastAsia="Arial" w:hAnsi="Arial" w:cs="Arial"/>
                <w:b/>
                <w:sz w:val="18"/>
                <w:szCs w:val="18"/>
              </w:rPr>
            </w:pPr>
            <w:r>
              <w:rPr>
                <w:rFonts w:ascii="Arial" w:eastAsia="Arial" w:hAnsi="Arial" w:cs="Arial"/>
                <w:b/>
                <w:sz w:val="18"/>
                <w:szCs w:val="18"/>
              </w:rPr>
              <w:t>Supplier to complete details of the report / alert name and description of product or service that it will Deliver and any volume or other restrictions of the license.</w:t>
            </w:r>
          </w:p>
        </w:tc>
        <w:tc>
          <w:tcPr>
            <w:tcW w:w="992"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134" w:type="dxa"/>
            <w:shd w:val="clear" w:color="auto" w:fill="auto"/>
          </w:tcPr>
          <w:p w:rsidR="00D72414" w:rsidRDefault="00D72414">
            <w:pPr>
              <w:spacing w:before="120" w:after="120"/>
              <w:rPr>
                <w:rFonts w:ascii="Arial" w:eastAsia="Arial" w:hAnsi="Arial" w:cs="Arial"/>
                <w:b/>
                <w:sz w:val="18"/>
                <w:szCs w:val="18"/>
              </w:rPr>
            </w:pPr>
          </w:p>
        </w:tc>
        <w:tc>
          <w:tcPr>
            <w:tcW w:w="1058" w:type="dxa"/>
            <w:shd w:val="clear" w:color="auto" w:fill="auto"/>
          </w:tcPr>
          <w:p w:rsidR="00D72414" w:rsidRDefault="00D72414">
            <w:pPr>
              <w:spacing w:before="120" w:after="120"/>
              <w:rPr>
                <w:rFonts w:ascii="Arial" w:eastAsia="Arial" w:hAnsi="Arial" w:cs="Arial"/>
                <w:b/>
                <w:sz w:val="18"/>
                <w:szCs w:val="18"/>
              </w:rPr>
            </w:pPr>
          </w:p>
        </w:tc>
        <w:tc>
          <w:tcPr>
            <w:tcW w:w="992" w:type="dxa"/>
          </w:tcPr>
          <w:p w:rsidR="00D72414" w:rsidRDefault="00D72414">
            <w:pPr>
              <w:spacing w:before="120" w:after="120"/>
              <w:rPr>
                <w:rFonts w:ascii="Arial" w:eastAsia="Arial" w:hAnsi="Arial" w:cs="Arial"/>
                <w:b/>
                <w:sz w:val="18"/>
                <w:szCs w:val="18"/>
              </w:rPr>
            </w:pPr>
          </w:p>
        </w:tc>
      </w:tr>
    </w:tbl>
    <w:p w:rsidR="00D72414" w:rsidRDefault="00D72414">
      <w:pPr>
        <w:pBdr>
          <w:top w:val="nil"/>
          <w:left w:val="nil"/>
          <w:bottom w:val="nil"/>
          <w:right w:val="nil"/>
          <w:between w:val="nil"/>
        </w:pBdr>
        <w:rPr>
          <w:rFonts w:ascii="Arial" w:eastAsia="Arial" w:hAnsi="Arial" w:cs="Arial"/>
          <w:b/>
          <w:color w:val="000000"/>
          <w:sz w:val="22"/>
          <w:szCs w:val="22"/>
        </w:rPr>
      </w:pPr>
    </w:p>
    <w:p w:rsidR="00D72414" w:rsidRDefault="00D72414">
      <w:pPr>
        <w:rPr>
          <w:rFonts w:ascii="Arial" w:eastAsia="Arial" w:hAnsi="Arial" w:cs="Arial"/>
          <w:b/>
          <w:color w:val="000000"/>
          <w:sz w:val="20"/>
          <w:szCs w:val="20"/>
        </w:rPr>
      </w:pPr>
    </w:p>
    <w:p w:rsidR="00D72414" w:rsidRDefault="00C0362E">
      <w:pPr>
        <w:rPr>
          <w:rFonts w:ascii="Arial" w:eastAsia="Arial" w:hAnsi="Arial" w:cs="Arial"/>
          <w:b/>
          <w:color w:val="000000"/>
          <w:sz w:val="20"/>
          <w:szCs w:val="20"/>
        </w:rPr>
      </w:pPr>
      <w:r>
        <w:rPr>
          <w:rFonts w:ascii="Arial" w:eastAsia="Arial" w:hAnsi="Arial" w:cs="Arial"/>
          <w:b/>
          <w:color w:val="000000"/>
          <w:sz w:val="20"/>
          <w:szCs w:val="20"/>
        </w:rPr>
        <w:t>Part D - Annex 1</w:t>
      </w:r>
    </w:p>
    <w:p w:rsidR="00D72414" w:rsidRDefault="00D72414">
      <w:pPr>
        <w:rPr>
          <w:rFonts w:ascii="Arial" w:eastAsia="Arial" w:hAnsi="Arial" w:cs="Arial"/>
          <w:b/>
          <w:color w:val="000000"/>
          <w:sz w:val="20"/>
          <w:szCs w:val="20"/>
        </w:rPr>
      </w:pPr>
    </w:p>
    <w:p w:rsidR="00D72414" w:rsidRDefault="00C0362E">
      <w:pPr>
        <w:rPr>
          <w:rFonts w:ascii="Arial" w:eastAsia="Arial" w:hAnsi="Arial" w:cs="Arial"/>
          <w:b/>
          <w:color w:val="000000"/>
          <w:sz w:val="20"/>
          <w:szCs w:val="20"/>
        </w:rPr>
      </w:pPr>
      <w:r>
        <w:rPr>
          <w:rFonts w:ascii="Arial" w:eastAsia="Arial" w:hAnsi="Arial" w:cs="Arial"/>
          <w:b/>
          <w:color w:val="000000"/>
          <w:sz w:val="20"/>
          <w:szCs w:val="20"/>
        </w:rPr>
        <w:t>This Annex shall include the Supplier’s Optional Pricing</w:t>
      </w:r>
    </w:p>
    <w:p w:rsidR="00180297" w:rsidRDefault="00180297" w:rsidP="00180297">
      <w:pPr>
        <w:pBdr>
          <w:top w:val="nil"/>
          <w:left w:val="nil"/>
          <w:bottom w:val="nil"/>
          <w:right w:val="nil"/>
          <w:between w:val="nil"/>
        </w:pBdr>
        <w:ind w:left="720"/>
        <w:jc w:val="center"/>
        <w:rPr>
          <w:rFonts w:ascii="Arial" w:eastAsia="Arial" w:hAnsi="Arial" w:cs="Arial"/>
          <w:b/>
          <w:color w:val="000000"/>
          <w:sz w:val="20"/>
          <w:szCs w:val="20"/>
        </w:rPr>
      </w:pPr>
      <w:r>
        <w:rPr>
          <w:rFonts w:ascii="Arial" w:eastAsia="Arial" w:hAnsi="Arial" w:cs="Arial"/>
          <w:b/>
          <w:color w:val="000000"/>
          <w:sz w:val="20"/>
          <w:szCs w:val="20"/>
        </w:rPr>
        <w:t>See above (Annex 1 Pricing Documents)</w:t>
      </w:r>
    </w:p>
    <w:p w:rsidR="00D72414" w:rsidRDefault="00D72414">
      <w:pPr>
        <w:pBdr>
          <w:top w:val="nil"/>
          <w:left w:val="nil"/>
          <w:bottom w:val="nil"/>
          <w:right w:val="nil"/>
          <w:between w:val="nil"/>
        </w:pBdr>
        <w:ind w:left="720"/>
        <w:rPr>
          <w:rFonts w:ascii="Arial" w:eastAsia="Arial" w:hAnsi="Arial" w:cs="Arial"/>
          <w:b/>
          <w:color w:val="000000"/>
          <w:sz w:val="20"/>
          <w:szCs w:val="20"/>
        </w:rPr>
      </w:pPr>
    </w:p>
    <w:p w:rsidR="00D72414" w:rsidRDefault="00D72414">
      <w:pPr>
        <w:pBdr>
          <w:top w:val="nil"/>
          <w:left w:val="nil"/>
          <w:bottom w:val="nil"/>
          <w:right w:val="nil"/>
          <w:between w:val="nil"/>
        </w:pBdr>
        <w:ind w:left="720"/>
        <w:rPr>
          <w:rFonts w:ascii="Arial" w:eastAsia="Arial" w:hAnsi="Arial" w:cs="Arial"/>
          <w:b/>
          <w:color w:val="000000"/>
          <w:sz w:val="20"/>
          <w:szCs w:val="20"/>
        </w:rPr>
      </w:pPr>
    </w:p>
    <w:p w:rsidR="00D72414" w:rsidRDefault="00C0362E">
      <w:pPr>
        <w:rPr>
          <w:rFonts w:ascii="Arial" w:eastAsia="Arial" w:hAnsi="Arial" w:cs="Arial"/>
          <w:b/>
          <w:color w:val="000000"/>
          <w:sz w:val="22"/>
          <w:szCs w:val="22"/>
        </w:rPr>
      </w:pPr>
      <w:r>
        <w:rPr>
          <w:rFonts w:ascii="Arial" w:eastAsia="Arial" w:hAnsi="Arial" w:cs="Arial"/>
          <w:b/>
          <w:color w:val="000000"/>
          <w:sz w:val="22"/>
          <w:szCs w:val="22"/>
        </w:rPr>
        <w:t>PART E</w:t>
      </w:r>
    </w:p>
    <w:p w:rsidR="00D72414" w:rsidRDefault="00D72414">
      <w:pPr>
        <w:pBdr>
          <w:top w:val="nil"/>
          <w:left w:val="nil"/>
          <w:bottom w:val="nil"/>
          <w:right w:val="nil"/>
          <w:between w:val="nil"/>
        </w:pBdr>
        <w:ind w:left="720"/>
        <w:rPr>
          <w:rFonts w:ascii="Arial" w:eastAsia="Arial" w:hAnsi="Arial" w:cs="Arial"/>
          <w:b/>
          <w:color w:val="000000"/>
          <w:sz w:val="20"/>
          <w:szCs w:val="20"/>
        </w:rPr>
      </w:pPr>
    </w:p>
    <w:p w:rsidR="00D72414" w:rsidRDefault="00D72414">
      <w:pPr>
        <w:pBdr>
          <w:top w:val="nil"/>
          <w:left w:val="nil"/>
          <w:bottom w:val="nil"/>
          <w:right w:val="nil"/>
          <w:between w:val="nil"/>
        </w:pBdr>
        <w:ind w:left="720"/>
        <w:rPr>
          <w:rFonts w:ascii="Arial" w:eastAsia="Arial" w:hAnsi="Arial" w:cs="Arial"/>
          <w:b/>
          <w:color w:val="000000"/>
          <w:sz w:val="20"/>
          <w:szCs w:val="20"/>
        </w:rPr>
      </w:pPr>
    </w:p>
    <w:p w:rsidR="00D72414" w:rsidRDefault="00C0362E">
      <w:pPr>
        <w:numPr>
          <w:ilvl w:val="0"/>
          <w:numId w:val="18"/>
        </w:numPr>
        <w:pBdr>
          <w:top w:val="nil"/>
          <w:left w:val="nil"/>
          <w:bottom w:val="nil"/>
          <w:right w:val="nil"/>
          <w:between w:val="nil"/>
        </w:pBdr>
        <w:jc w:val="both"/>
        <w:rPr>
          <w:color w:val="000000"/>
          <w:u w:val="single"/>
        </w:rPr>
      </w:pPr>
      <w:r>
        <w:rPr>
          <w:rFonts w:ascii="Arial" w:eastAsia="Arial" w:hAnsi="Arial" w:cs="Arial"/>
          <w:b/>
          <w:color w:val="000000"/>
          <w:sz w:val="20"/>
          <w:szCs w:val="20"/>
          <w:u w:val="single"/>
        </w:rPr>
        <w:t>Part E: (URN 4.0) Advisory</w:t>
      </w:r>
      <w:r>
        <w:rPr>
          <w:rFonts w:ascii="Arial" w:eastAsia="Arial" w:hAnsi="Arial" w:cs="Arial"/>
          <w:color w:val="000000"/>
          <w:sz w:val="20"/>
          <w:szCs w:val="20"/>
          <w:u w:val="single"/>
        </w:rPr>
        <w:t xml:space="preserve">  </w:t>
      </w:r>
    </w:p>
    <w:p w:rsidR="00D72414" w:rsidRDefault="00C0362E">
      <w:pPr>
        <w:pBdr>
          <w:top w:val="nil"/>
          <w:left w:val="nil"/>
          <w:bottom w:val="nil"/>
          <w:right w:val="nil"/>
          <w:between w:val="nil"/>
        </w:pBdr>
        <w:ind w:left="720"/>
        <w:jc w:val="both"/>
        <w:rPr>
          <w:color w:val="000000"/>
        </w:rPr>
      </w:pPr>
      <w:r>
        <w:rPr>
          <w:rFonts w:ascii="Arial" w:eastAsia="Arial" w:hAnsi="Arial" w:cs="Arial"/>
          <w:color w:val="000000"/>
          <w:sz w:val="20"/>
          <w:szCs w:val="20"/>
        </w:rPr>
        <w:t xml:space="preserve"> </w:t>
      </w:r>
    </w:p>
    <w:p w:rsidR="00D72414" w:rsidRDefault="00C0362E">
      <w:pPr>
        <w:numPr>
          <w:ilvl w:val="1"/>
          <w:numId w:val="19"/>
        </w:numPr>
        <w:pBdr>
          <w:top w:val="nil"/>
          <w:left w:val="nil"/>
          <w:bottom w:val="nil"/>
          <w:right w:val="nil"/>
          <w:between w:val="nil"/>
        </w:pBdr>
        <w:jc w:val="both"/>
      </w:pPr>
      <w:r>
        <w:rPr>
          <w:rFonts w:ascii="Arial" w:eastAsia="Arial" w:hAnsi="Arial" w:cs="Arial"/>
          <w:color w:val="000000"/>
          <w:sz w:val="20"/>
          <w:szCs w:val="20"/>
        </w:rPr>
        <w:t>This Service shall be Charged as a Time and Materials Service.</w:t>
      </w:r>
    </w:p>
    <w:p w:rsidR="00D72414" w:rsidRDefault="00C0362E">
      <w:pPr>
        <w:pBdr>
          <w:top w:val="nil"/>
          <w:left w:val="nil"/>
          <w:bottom w:val="nil"/>
          <w:right w:val="nil"/>
          <w:between w:val="nil"/>
        </w:pBdr>
        <w:ind w:left="360"/>
        <w:jc w:val="both"/>
        <w:rPr>
          <w:color w:val="000000"/>
        </w:rPr>
      </w:pPr>
      <w:r>
        <w:rPr>
          <w:rFonts w:ascii="Arial" w:eastAsia="Arial" w:hAnsi="Arial" w:cs="Arial"/>
          <w:color w:val="000000"/>
          <w:sz w:val="20"/>
          <w:szCs w:val="20"/>
        </w:rPr>
        <w:t xml:space="preserve"> </w:t>
      </w:r>
    </w:p>
    <w:p w:rsidR="00D72414" w:rsidRDefault="00C0362E">
      <w:pPr>
        <w:numPr>
          <w:ilvl w:val="1"/>
          <w:numId w:val="19"/>
        </w:numPr>
        <w:pBdr>
          <w:top w:val="nil"/>
          <w:left w:val="nil"/>
          <w:bottom w:val="nil"/>
          <w:right w:val="nil"/>
          <w:between w:val="nil"/>
        </w:pBdr>
        <w:jc w:val="both"/>
      </w:pPr>
      <w:r>
        <w:rPr>
          <w:rFonts w:ascii="Arial" w:eastAsia="Arial" w:hAnsi="Arial" w:cs="Arial"/>
          <w:color w:val="000000"/>
          <w:sz w:val="20"/>
          <w:szCs w:val="20"/>
        </w:rPr>
        <w:t>Where the Supplier is to provide a Time and Materials Service or perform an activity on a 'Time and Materials basis' the Supplier shall use its resources in a proportionate and efficient manner to undertake only that work which is necessary to provide the Service and thus minimise the cost to the Buyer of such Service or activity.</w:t>
      </w:r>
    </w:p>
    <w:p w:rsidR="00D72414" w:rsidRDefault="00C0362E">
      <w:pPr>
        <w:numPr>
          <w:ilvl w:val="1"/>
          <w:numId w:val="19"/>
        </w:numPr>
        <w:pBdr>
          <w:top w:val="nil"/>
          <w:left w:val="nil"/>
          <w:bottom w:val="nil"/>
          <w:right w:val="nil"/>
          <w:between w:val="nil"/>
        </w:pBdr>
        <w:spacing w:before="240"/>
        <w:jc w:val="both"/>
      </w:pPr>
      <w:r>
        <w:rPr>
          <w:rFonts w:ascii="Arial" w:eastAsia="Arial" w:hAnsi="Arial" w:cs="Arial"/>
          <w:color w:val="000000"/>
          <w:sz w:val="20"/>
          <w:szCs w:val="20"/>
        </w:rPr>
        <w:t>The Charges for a Time and Materials Service or an activity which is to be provided on a 'Time and Materials basis' shall be the sum of:</w:t>
      </w:r>
    </w:p>
    <w:p w:rsidR="00D72414" w:rsidRDefault="00C0362E">
      <w:pPr>
        <w:numPr>
          <w:ilvl w:val="0"/>
          <w:numId w:val="3"/>
        </w:numPr>
        <w:pBdr>
          <w:top w:val="nil"/>
          <w:left w:val="nil"/>
          <w:bottom w:val="nil"/>
          <w:right w:val="nil"/>
          <w:between w:val="nil"/>
        </w:pBdr>
        <w:spacing w:before="240"/>
        <w:jc w:val="both"/>
      </w:pPr>
      <w:r>
        <w:rPr>
          <w:rFonts w:ascii="Arial" w:eastAsia="Arial" w:hAnsi="Arial" w:cs="Arial"/>
          <w:color w:val="000000"/>
          <w:sz w:val="20"/>
          <w:szCs w:val="20"/>
        </w:rPr>
        <w:t>the price for the Supplier Staff directly engaged in the performance of such Service or activity, multiplied by the amount of time directly and necessarily spent by the Supplier Staff in the performance of that Service or activity (as per URN 4.0 Table 1 below); and</w:t>
      </w:r>
    </w:p>
    <w:p w:rsidR="00D72414" w:rsidRDefault="00D72414">
      <w:pPr>
        <w:pBdr>
          <w:top w:val="nil"/>
          <w:left w:val="nil"/>
          <w:bottom w:val="nil"/>
          <w:right w:val="nil"/>
          <w:between w:val="nil"/>
        </w:pBdr>
        <w:ind w:left="720"/>
        <w:jc w:val="both"/>
        <w:rPr>
          <w:color w:val="000000"/>
        </w:rPr>
      </w:pPr>
    </w:p>
    <w:p w:rsidR="00D72414" w:rsidRDefault="00C0362E">
      <w:pPr>
        <w:numPr>
          <w:ilvl w:val="0"/>
          <w:numId w:val="3"/>
        </w:numPr>
        <w:pBdr>
          <w:top w:val="nil"/>
          <w:left w:val="nil"/>
          <w:bottom w:val="nil"/>
          <w:right w:val="nil"/>
          <w:between w:val="nil"/>
        </w:pBdr>
        <w:jc w:val="both"/>
      </w:pPr>
      <w:r>
        <w:rPr>
          <w:rFonts w:ascii="Arial" w:eastAsia="Arial" w:hAnsi="Arial" w:cs="Arial"/>
          <w:color w:val="000000"/>
          <w:sz w:val="20"/>
          <w:szCs w:val="20"/>
        </w:rPr>
        <w:t>any Pass-Through Charges.</w:t>
      </w:r>
    </w:p>
    <w:p w:rsidR="00D72414" w:rsidRDefault="00C0362E">
      <w:pPr>
        <w:numPr>
          <w:ilvl w:val="1"/>
          <w:numId w:val="19"/>
        </w:numPr>
        <w:pBdr>
          <w:top w:val="nil"/>
          <w:left w:val="nil"/>
          <w:bottom w:val="nil"/>
          <w:right w:val="nil"/>
          <w:between w:val="nil"/>
        </w:pBdr>
        <w:spacing w:before="240"/>
        <w:jc w:val="both"/>
      </w:pPr>
      <w:r>
        <w:rPr>
          <w:rFonts w:ascii="Arial" w:eastAsia="Arial" w:hAnsi="Arial" w:cs="Arial"/>
          <w:color w:val="000000"/>
          <w:sz w:val="20"/>
          <w:szCs w:val="20"/>
        </w:rPr>
        <w:t>The Supplier shall keep records of the times and dates worked and the activity (or activities) undertaken in the form of timesheets, with or without any Approved expenses incurred, and the Supplier shall submit a summary of these with each invoice that is submitted to the Buyer. The Supplier shall make available copies of the detailed records to the relevant Buyer within 10 Working Days after the Buyer’s request.</w:t>
      </w:r>
    </w:p>
    <w:p w:rsidR="00D72414" w:rsidRDefault="00C0362E">
      <w:pPr>
        <w:numPr>
          <w:ilvl w:val="1"/>
          <w:numId w:val="19"/>
        </w:numPr>
        <w:pBdr>
          <w:top w:val="nil"/>
          <w:left w:val="nil"/>
          <w:bottom w:val="nil"/>
          <w:right w:val="nil"/>
          <w:between w:val="nil"/>
        </w:pBdr>
        <w:spacing w:before="240"/>
        <w:jc w:val="both"/>
      </w:pPr>
      <w:r>
        <w:rPr>
          <w:rFonts w:ascii="Arial" w:eastAsia="Arial" w:hAnsi="Arial" w:cs="Arial"/>
          <w:color w:val="000000"/>
          <w:sz w:val="20"/>
          <w:szCs w:val="20"/>
        </w:rPr>
        <w:t>The Supplier shall only be entitled to be reimbursed for any Reimbursable Expenses where Approved by the Buyer.</w:t>
      </w:r>
    </w:p>
    <w:p w:rsidR="00D72414" w:rsidRDefault="00C0362E">
      <w:pPr>
        <w:pBdr>
          <w:top w:val="nil"/>
          <w:left w:val="nil"/>
          <w:bottom w:val="nil"/>
          <w:right w:val="nil"/>
          <w:between w:val="nil"/>
        </w:pBdr>
        <w:spacing w:before="240"/>
        <w:rPr>
          <w:rFonts w:ascii="Arial" w:eastAsia="Arial" w:hAnsi="Arial" w:cs="Arial"/>
          <w:b/>
          <w:color w:val="000000"/>
          <w:sz w:val="20"/>
          <w:szCs w:val="20"/>
        </w:rPr>
      </w:pPr>
      <w:r>
        <w:rPr>
          <w:rFonts w:ascii="Arial" w:eastAsia="Arial" w:hAnsi="Arial" w:cs="Arial"/>
          <w:b/>
          <w:color w:val="000000"/>
          <w:sz w:val="20"/>
          <w:szCs w:val="20"/>
        </w:rPr>
        <w:t>URN 4.0 Table 1</w:t>
      </w:r>
    </w:p>
    <w:p w:rsidR="00D72414" w:rsidRDefault="00D72414">
      <w:pPr>
        <w:pBdr>
          <w:top w:val="nil"/>
          <w:left w:val="nil"/>
          <w:bottom w:val="nil"/>
          <w:right w:val="nil"/>
          <w:between w:val="nil"/>
        </w:pBdr>
        <w:spacing w:before="240"/>
        <w:rPr>
          <w:b/>
        </w:rPr>
      </w:pPr>
    </w:p>
    <w:tbl>
      <w:tblPr>
        <w:tblStyle w:val="affff6"/>
        <w:tblW w:w="1493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2018"/>
        <w:gridCol w:w="2163"/>
        <w:gridCol w:w="2154"/>
        <w:gridCol w:w="2140"/>
        <w:gridCol w:w="2140"/>
        <w:gridCol w:w="2066"/>
        <w:gridCol w:w="2249"/>
      </w:tblGrid>
      <w:tr w:rsidR="00D72414">
        <w:trPr>
          <w:trHeight w:val="1565"/>
        </w:trPr>
        <w:tc>
          <w:tcPr>
            <w:tcW w:w="2018" w:type="dxa"/>
            <w:shd w:val="clear" w:color="auto" w:fill="E7E6E6"/>
          </w:tcPr>
          <w:p w:rsidR="00D72414" w:rsidRDefault="00C0362E">
            <w:pPr>
              <w:spacing w:before="240"/>
              <w:rPr>
                <w:rFonts w:ascii="Arial" w:eastAsia="Arial" w:hAnsi="Arial" w:cs="Arial"/>
                <w:b/>
                <w:sz w:val="20"/>
                <w:szCs w:val="20"/>
              </w:rPr>
            </w:pPr>
            <w:r>
              <w:rPr>
                <w:rFonts w:ascii="Arial" w:eastAsia="Arial" w:hAnsi="Arial" w:cs="Arial"/>
                <w:b/>
                <w:sz w:val="20"/>
                <w:szCs w:val="20"/>
              </w:rPr>
              <w:lastRenderedPageBreak/>
              <w:t>Seniority</w:t>
            </w:r>
          </w:p>
        </w:tc>
        <w:tc>
          <w:tcPr>
            <w:tcW w:w="2163" w:type="dxa"/>
            <w:shd w:val="clear" w:color="auto" w:fill="E7E6E6"/>
          </w:tcPr>
          <w:p w:rsidR="00D72414" w:rsidRDefault="00C0362E">
            <w:pPr>
              <w:spacing w:before="240"/>
              <w:rPr>
                <w:rFonts w:ascii="Arial" w:eastAsia="Arial" w:hAnsi="Arial" w:cs="Arial"/>
                <w:b/>
                <w:sz w:val="20"/>
                <w:szCs w:val="20"/>
              </w:rPr>
            </w:pPr>
            <w:r>
              <w:rPr>
                <w:rFonts w:ascii="Arial" w:eastAsia="Arial" w:hAnsi="Arial" w:cs="Arial"/>
                <w:b/>
                <w:sz w:val="20"/>
                <w:szCs w:val="20"/>
              </w:rPr>
              <w:t xml:space="preserve">Partner / </w:t>
            </w:r>
            <w:r>
              <w:rPr>
                <w:rFonts w:ascii="Arial" w:eastAsia="Arial" w:hAnsi="Arial" w:cs="Arial"/>
                <w:b/>
                <w:sz w:val="20"/>
                <w:szCs w:val="20"/>
              </w:rPr>
              <w:br/>
              <w:t>Managing Director</w:t>
            </w:r>
          </w:p>
        </w:tc>
        <w:tc>
          <w:tcPr>
            <w:tcW w:w="2154" w:type="dxa"/>
            <w:shd w:val="clear" w:color="auto" w:fill="E7E6E6"/>
          </w:tcPr>
          <w:p w:rsidR="00D72414" w:rsidRDefault="00C0362E">
            <w:pPr>
              <w:spacing w:before="240"/>
              <w:rPr>
                <w:rFonts w:ascii="Arial" w:eastAsia="Arial" w:hAnsi="Arial" w:cs="Arial"/>
                <w:b/>
                <w:sz w:val="20"/>
                <w:szCs w:val="20"/>
              </w:rPr>
            </w:pPr>
            <w:r>
              <w:rPr>
                <w:rFonts w:ascii="Arial" w:eastAsia="Arial" w:hAnsi="Arial" w:cs="Arial"/>
                <w:b/>
                <w:sz w:val="20"/>
                <w:szCs w:val="20"/>
              </w:rPr>
              <w:t xml:space="preserve">Managing Consultant / </w:t>
            </w:r>
            <w:r>
              <w:rPr>
                <w:rFonts w:ascii="Arial" w:eastAsia="Arial" w:hAnsi="Arial" w:cs="Arial"/>
                <w:b/>
                <w:sz w:val="20"/>
                <w:szCs w:val="20"/>
              </w:rPr>
              <w:br/>
              <w:t xml:space="preserve">Associate Director / </w:t>
            </w:r>
            <w:r>
              <w:rPr>
                <w:rFonts w:ascii="Arial" w:eastAsia="Arial" w:hAnsi="Arial" w:cs="Arial"/>
                <w:b/>
                <w:sz w:val="20"/>
                <w:szCs w:val="20"/>
              </w:rPr>
              <w:br/>
              <w:t>Director</w:t>
            </w:r>
          </w:p>
        </w:tc>
        <w:tc>
          <w:tcPr>
            <w:tcW w:w="2140" w:type="dxa"/>
            <w:shd w:val="clear" w:color="auto" w:fill="E7E6E6"/>
          </w:tcPr>
          <w:p w:rsidR="00D72414" w:rsidRDefault="00C0362E">
            <w:pPr>
              <w:spacing w:before="240"/>
              <w:rPr>
                <w:rFonts w:ascii="Arial" w:eastAsia="Arial" w:hAnsi="Arial" w:cs="Arial"/>
                <w:b/>
                <w:sz w:val="20"/>
                <w:szCs w:val="20"/>
              </w:rPr>
            </w:pPr>
            <w:r>
              <w:rPr>
                <w:rFonts w:ascii="Arial" w:eastAsia="Arial" w:hAnsi="Arial" w:cs="Arial"/>
                <w:b/>
                <w:sz w:val="20"/>
                <w:szCs w:val="20"/>
              </w:rPr>
              <w:t>Principal</w:t>
            </w:r>
            <w:r>
              <w:rPr>
                <w:rFonts w:ascii="Arial" w:eastAsia="Arial" w:hAnsi="Arial" w:cs="Arial"/>
                <w:b/>
                <w:sz w:val="20"/>
                <w:szCs w:val="20"/>
              </w:rPr>
              <w:br/>
              <w:t>Consultant</w:t>
            </w:r>
          </w:p>
        </w:tc>
        <w:tc>
          <w:tcPr>
            <w:tcW w:w="2140" w:type="dxa"/>
            <w:shd w:val="clear" w:color="auto" w:fill="E7E6E6"/>
          </w:tcPr>
          <w:p w:rsidR="00D72414" w:rsidRDefault="00C0362E">
            <w:pPr>
              <w:spacing w:before="240"/>
              <w:rPr>
                <w:rFonts w:ascii="Arial" w:eastAsia="Arial" w:hAnsi="Arial" w:cs="Arial"/>
                <w:b/>
                <w:sz w:val="20"/>
                <w:szCs w:val="20"/>
              </w:rPr>
            </w:pPr>
            <w:r>
              <w:rPr>
                <w:rFonts w:ascii="Arial" w:eastAsia="Arial" w:hAnsi="Arial" w:cs="Arial"/>
                <w:b/>
                <w:sz w:val="20"/>
                <w:szCs w:val="20"/>
              </w:rPr>
              <w:t>Senior Consultant /</w:t>
            </w:r>
            <w:r>
              <w:rPr>
                <w:rFonts w:ascii="Arial" w:eastAsia="Arial" w:hAnsi="Arial" w:cs="Arial"/>
                <w:b/>
                <w:sz w:val="20"/>
                <w:szCs w:val="20"/>
              </w:rPr>
              <w:br/>
              <w:t>Manager</w:t>
            </w:r>
          </w:p>
        </w:tc>
        <w:tc>
          <w:tcPr>
            <w:tcW w:w="2066" w:type="dxa"/>
            <w:shd w:val="clear" w:color="auto" w:fill="E7E6E6"/>
          </w:tcPr>
          <w:p w:rsidR="00D72414" w:rsidRDefault="00C0362E">
            <w:pPr>
              <w:spacing w:before="240"/>
              <w:rPr>
                <w:rFonts w:ascii="Arial" w:eastAsia="Arial" w:hAnsi="Arial" w:cs="Arial"/>
                <w:b/>
                <w:sz w:val="20"/>
                <w:szCs w:val="20"/>
              </w:rPr>
            </w:pPr>
            <w:r>
              <w:rPr>
                <w:rFonts w:ascii="Arial" w:eastAsia="Arial" w:hAnsi="Arial" w:cs="Arial"/>
                <w:b/>
                <w:sz w:val="20"/>
                <w:szCs w:val="20"/>
              </w:rPr>
              <w:t>Consultant / Senior Analyst</w:t>
            </w:r>
          </w:p>
        </w:tc>
        <w:tc>
          <w:tcPr>
            <w:tcW w:w="2249" w:type="dxa"/>
            <w:shd w:val="clear" w:color="auto" w:fill="E7E6E6"/>
          </w:tcPr>
          <w:p w:rsidR="00D72414" w:rsidRDefault="00C0362E">
            <w:pPr>
              <w:spacing w:before="240"/>
              <w:rPr>
                <w:rFonts w:ascii="Arial" w:eastAsia="Arial" w:hAnsi="Arial" w:cs="Arial"/>
                <w:b/>
                <w:sz w:val="20"/>
                <w:szCs w:val="20"/>
              </w:rPr>
            </w:pPr>
            <w:r>
              <w:rPr>
                <w:rFonts w:ascii="Arial" w:eastAsia="Arial" w:hAnsi="Arial" w:cs="Arial"/>
                <w:b/>
                <w:sz w:val="20"/>
                <w:szCs w:val="20"/>
              </w:rPr>
              <w:t>Junior Consultant / Analyst</w:t>
            </w:r>
          </w:p>
        </w:tc>
      </w:tr>
      <w:tr w:rsidR="00D72414">
        <w:trPr>
          <w:trHeight w:val="1565"/>
        </w:trPr>
        <w:tc>
          <w:tcPr>
            <w:tcW w:w="2018" w:type="dxa"/>
            <w:shd w:val="clear" w:color="auto" w:fill="E7E6E6"/>
          </w:tcPr>
          <w:p w:rsidR="00D72414" w:rsidRDefault="00C0362E">
            <w:pPr>
              <w:spacing w:before="240"/>
              <w:jc w:val="both"/>
              <w:rPr>
                <w:rFonts w:ascii="Arial" w:eastAsia="Arial" w:hAnsi="Arial" w:cs="Arial"/>
                <w:b/>
                <w:sz w:val="20"/>
                <w:szCs w:val="20"/>
              </w:rPr>
            </w:pPr>
            <w:r>
              <w:rPr>
                <w:rFonts w:ascii="Arial" w:eastAsia="Arial" w:hAnsi="Arial" w:cs="Arial"/>
                <w:sz w:val="20"/>
                <w:szCs w:val="20"/>
                <w:highlight w:val="white"/>
              </w:rPr>
              <w:t>Summary descriptions of each Level - actual descriptions will be Approved by the Buyer within their Call-Off Contract as they will be specific to the Buyer's Deliverables</w:t>
            </w:r>
          </w:p>
        </w:tc>
        <w:tc>
          <w:tcPr>
            <w:tcW w:w="2163" w:type="dxa"/>
          </w:tcPr>
          <w:p w:rsidR="00D72414" w:rsidRDefault="00C0362E">
            <w:pPr>
              <w:spacing w:before="240"/>
              <w:jc w:val="both"/>
              <w:rPr>
                <w:rFonts w:ascii="Arial" w:eastAsia="Arial" w:hAnsi="Arial" w:cs="Arial"/>
                <w:sz w:val="20"/>
                <w:szCs w:val="20"/>
              </w:rPr>
            </w:pPr>
            <w:r>
              <w:rPr>
                <w:rFonts w:ascii="Arial" w:eastAsia="Arial" w:hAnsi="Arial" w:cs="Arial"/>
                <w:sz w:val="20"/>
                <w:szCs w:val="20"/>
                <w:highlight w:val="white"/>
              </w:rPr>
              <w:t>Is responsible for the operation of the entire consultancy practise, and Buyer engagement if required with the Buyer's staff at Director level or above if required by the Buyer</w:t>
            </w:r>
          </w:p>
        </w:tc>
        <w:tc>
          <w:tcPr>
            <w:tcW w:w="2154" w:type="dxa"/>
          </w:tcPr>
          <w:p w:rsidR="00D72414" w:rsidRDefault="00C0362E">
            <w:pPr>
              <w:spacing w:before="240"/>
              <w:jc w:val="both"/>
              <w:rPr>
                <w:rFonts w:ascii="Arial" w:eastAsia="Arial" w:hAnsi="Arial" w:cs="Arial"/>
                <w:sz w:val="20"/>
                <w:szCs w:val="20"/>
              </w:rPr>
            </w:pPr>
            <w:r>
              <w:rPr>
                <w:rFonts w:ascii="Arial" w:eastAsia="Arial" w:hAnsi="Arial" w:cs="Arial"/>
                <w:sz w:val="20"/>
                <w:szCs w:val="20"/>
                <w:highlight w:val="white"/>
              </w:rPr>
              <w:t>Takes responsibility for a significant consultancy practice, including practice development, proposals/sales to internal or external Buyers, account management and managing the delivery of consultancy services over a wide range of topics</w:t>
            </w:r>
          </w:p>
        </w:tc>
        <w:tc>
          <w:tcPr>
            <w:tcW w:w="2140" w:type="dxa"/>
          </w:tcPr>
          <w:p w:rsidR="00D72414" w:rsidRDefault="00C0362E">
            <w:pPr>
              <w:spacing w:before="240"/>
              <w:jc w:val="both"/>
              <w:rPr>
                <w:rFonts w:ascii="Arial" w:eastAsia="Arial" w:hAnsi="Arial" w:cs="Arial"/>
                <w:sz w:val="20"/>
                <w:szCs w:val="20"/>
              </w:rPr>
            </w:pPr>
            <w:r>
              <w:rPr>
                <w:rFonts w:ascii="Arial" w:eastAsia="Arial" w:hAnsi="Arial" w:cs="Arial"/>
                <w:sz w:val="20"/>
                <w:szCs w:val="20"/>
                <w:highlight w:val="white"/>
              </w:rPr>
              <w:t>Manages provision of consultancy services to the Buyer, and/or supervision of a team of consultants. In own areas of expertise, provides advice and guidance to consultants and/or the Buyer through involvement in the delivery of consultancy services. Engages with Buyers and maintains Buyer relationships. Establishes agreements/contracts and manages completion and disengagement</w:t>
            </w:r>
          </w:p>
        </w:tc>
        <w:tc>
          <w:tcPr>
            <w:tcW w:w="2140" w:type="dxa"/>
          </w:tcPr>
          <w:p w:rsidR="00D72414" w:rsidRDefault="00C0362E">
            <w:pPr>
              <w:spacing w:before="240"/>
              <w:jc w:val="both"/>
              <w:rPr>
                <w:rFonts w:ascii="Arial" w:eastAsia="Arial" w:hAnsi="Arial" w:cs="Arial"/>
                <w:sz w:val="20"/>
                <w:szCs w:val="20"/>
              </w:rPr>
            </w:pPr>
            <w:r>
              <w:rPr>
                <w:rFonts w:ascii="Arial" w:eastAsia="Arial" w:hAnsi="Arial" w:cs="Arial"/>
                <w:sz w:val="20"/>
                <w:szCs w:val="20"/>
                <w:highlight w:val="white"/>
              </w:rPr>
              <w:t>Manages provision of consultancy services, and/or management of a team of consultants. In own areas of expertise, provides advice and guidance to consultants and/or the Buyer through involvement in the delivery of consultancy services. Engages with Buyers and maintains Buyer relationships. Establishes agreements/contracts and manages completion and disengagement</w:t>
            </w:r>
          </w:p>
        </w:tc>
        <w:tc>
          <w:tcPr>
            <w:tcW w:w="2066" w:type="dxa"/>
          </w:tcPr>
          <w:p w:rsidR="00D72414" w:rsidRDefault="00C0362E">
            <w:pPr>
              <w:spacing w:before="240"/>
              <w:jc w:val="both"/>
              <w:rPr>
                <w:rFonts w:ascii="Arial" w:eastAsia="Arial" w:hAnsi="Arial" w:cs="Arial"/>
                <w:sz w:val="20"/>
                <w:szCs w:val="20"/>
              </w:rPr>
            </w:pPr>
            <w:r>
              <w:rPr>
                <w:rFonts w:ascii="Arial" w:eastAsia="Arial" w:hAnsi="Arial" w:cs="Arial"/>
                <w:sz w:val="20"/>
                <w:szCs w:val="20"/>
                <w:highlight w:val="white"/>
              </w:rPr>
              <w:t>Provides consultancy services, and/or supervision of a team of consultants. In own areas of expertise, provides advice and guidance to consultants and/or the Buyer through involvement in the delivery of consultancy services. Engages with Buyer and maintains Buyer relationships.</w:t>
            </w:r>
          </w:p>
        </w:tc>
        <w:tc>
          <w:tcPr>
            <w:tcW w:w="2249" w:type="dxa"/>
          </w:tcPr>
          <w:p w:rsidR="00D72414" w:rsidRDefault="00C0362E">
            <w:pPr>
              <w:spacing w:before="240"/>
              <w:jc w:val="both"/>
              <w:rPr>
                <w:rFonts w:ascii="Arial" w:eastAsia="Arial" w:hAnsi="Arial" w:cs="Arial"/>
                <w:sz w:val="20"/>
                <w:szCs w:val="20"/>
              </w:rPr>
            </w:pPr>
            <w:r>
              <w:rPr>
                <w:rFonts w:ascii="Arial" w:eastAsia="Arial" w:hAnsi="Arial" w:cs="Arial"/>
                <w:sz w:val="20"/>
                <w:szCs w:val="20"/>
                <w:highlight w:val="white"/>
              </w:rPr>
              <w:t xml:space="preserve">Provides consultancy services, </w:t>
            </w:r>
            <w:proofErr w:type="gramStart"/>
            <w:r>
              <w:rPr>
                <w:rFonts w:ascii="Arial" w:eastAsia="Arial" w:hAnsi="Arial" w:cs="Arial"/>
                <w:sz w:val="20"/>
                <w:szCs w:val="20"/>
                <w:highlight w:val="white"/>
              </w:rPr>
              <w:t>Under</w:t>
            </w:r>
            <w:proofErr w:type="gramEnd"/>
            <w:r>
              <w:rPr>
                <w:rFonts w:ascii="Arial" w:eastAsia="Arial" w:hAnsi="Arial" w:cs="Arial"/>
                <w:sz w:val="20"/>
                <w:szCs w:val="20"/>
                <w:highlight w:val="white"/>
              </w:rPr>
              <w:t xml:space="preserve"> supervision, In own areas of expertise, provides advice and guidance to the Buyer through involvement in the delivery of consultancy services. </w:t>
            </w:r>
          </w:p>
        </w:tc>
      </w:tr>
      <w:tr w:rsidR="00D72414">
        <w:trPr>
          <w:trHeight w:val="1565"/>
        </w:trPr>
        <w:tc>
          <w:tcPr>
            <w:tcW w:w="2018" w:type="dxa"/>
            <w:shd w:val="clear" w:color="auto" w:fill="E7E6E6"/>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Charge per ½ Work Day to the nearest  £1</w:t>
            </w:r>
          </w:p>
        </w:tc>
        <w:tc>
          <w:tcPr>
            <w:tcW w:w="2163"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w:t>
            </w:r>
          </w:p>
        </w:tc>
        <w:tc>
          <w:tcPr>
            <w:tcW w:w="2154"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w:t>
            </w:r>
          </w:p>
        </w:tc>
        <w:tc>
          <w:tcPr>
            <w:tcW w:w="2140"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w:t>
            </w:r>
          </w:p>
        </w:tc>
        <w:tc>
          <w:tcPr>
            <w:tcW w:w="2140"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w:t>
            </w:r>
          </w:p>
        </w:tc>
        <w:tc>
          <w:tcPr>
            <w:tcW w:w="2066"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w:t>
            </w:r>
          </w:p>
        </w:tc>
        <w:tc>
          <w:tcPr>
            <w:tcW w:w="2249"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w:t>
            </w:r>
          </w:p>
        </w:tc>
      </w:tr>
      <w:tr w:rsidR="00D72414">
        <w:trPr>
          <w:trHeight w:val="454"/>
        </w:trPr>
        <w:tc>
          <w:tcPr>
            <w:tcW w:w="2018" w:type="dxa"/>
            <w:shd w:val="clear" w:color="auto" w:fill="E7E6E6"/>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lastRenderedPageBreak/>
              <w:t>Guidance</w:t>
            </w:r>
          </w:p>
        </w:tc>
        <w:tc>
          <w:tcPr>
            <w:tcW w:w="2163"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To be completed first</w:t>
            </w:r>
          </w:p>
        </w:tc>
        <w:tc>
          <w:tcPr>
            <w:tcW w:w="2154"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No less than 50% of the immediately higher level of seniority</w:t>
            </w:r>
          </w:p>
        </w:tc>
        <w:tc>
          <w:tcPr>
            <w:tcW w:w="2140"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No less than 50% of the immediately higher level of seniority</w:t>
            </w:r>
          </w:p>
        </w:tc>
        <w:tc>
          <w:tcPr>
            <w:tcW w:w="2140"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No less than 50% of the immediately higher level of seniority</w:t>
            </w:r>
          </w:p>
        </w:tc>
        <w:tc>
          <w:tcPr>
            <w:tcW w:w="2066"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No less than 50% of the immediately higher level of seniority</w:t>
            </w:r>
          </w:p>
        </w:tc>
        <w:tc>
          <w:tcPr>
            <w:tcW w:w="2249"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No less than 50% of the immediately higher level of seniority</w:t>
            </w:r>
          </w:p>
        </w:tc>
      </w:tr>
    </w:tbl>
    <w:p w:rsidR="00D72414" w:rsidRDefault="00D72414">
      <w:pPr>
        <w:pBdr>
          <w:top w:val="nil"/>
          <w:left w:val="nil"/>
          <w:bottom w:val="nil"/>
          <w:right w:val="nil"/>
          <w:between w:val="nil"/>
        </w:pBdr>
        <w:spacing w:before="240"/>
        <w:jc w:val="both"/>
      </w:pPr>
    </w:p>
    <w:p w:rsidR="00D72414" w:rsidRDefault="00C0362E">
      <w:pPr>
        <w:pBdr>
          <w:top w:val="nil"/>
          <w:left w:val="nil"/>
          <w:bottom w:val="nil"/>
          <w:right w:val="nil"/>
          <w:between w:val="nil"/>
        </w:pBdr>
        <w:spacing w:before="240"/>
        <w:jc w:val="both"/>
        <w:rPr>
          <w:rFonts w:ascii="Arial" w:eastAsia="Arial" w:hAnsi="Arial" w:cs="Arial"/>
          <w:b/>
        </w:rPr>
      </w:pPr>
      <w:r>
        <w:rPr>
          <w:rFonts w:ascii="Arial" w:eastAsia="Arial" w:hAnsi="Arial" w:cs="Arial"/>
          <w:b/>
        </w:rPr>
        <w:t>PART F</w:t>
      </w:r>
    </w:p>
    <w:p w:rsidR="00D72414" w:rsidRDefault="00C0362E">
      <w:pPr>
        <w:numPr>
          <w:ilvl w:val="0"/>
          <w:numId w:val="7"/>
        </w:numPr>
        <w:pBdr>
          <w:top w:val="nil"/>
          <w:left w:val="nil"/>
          <w:bottom w:val="nil"/>
          <w:right w:val="nil"/>
          <w:between w:val="nil"/>
        </w:pBdr>
        <w:spacing w:before="240"/>
        <w:jc w:val="both"/>
        <w:rPr>
          <w:rFonts w:ascii="Arial" w:eastAsia="Arial" w:hAnsi="Arial" w:cs="Arial"/>
          <w:b/>
          <w:color w:val="000000"/>
          <w:sz w:val="20"/>
          <w:szCs w:val="20"/>
          <w:u w:val="single"/>
        </w:rPr>
      </w:pPr>
      <w:r>
        <w:rPr>
          <w:rFonts w:ascii="Arial" w:eastAsia="Arial" w:hAnsi="Arial" w:cs="Arial"/>
          <w:b/>
          <w:color w:val="000000"/>
          <w:sz w:val="20"/>
          <w:szCs w:val="20"/>
          <w:u w:val="single"/>
        </w:rPr>
        <w:t xml:space="preserve">Part F: URN 5.0 Enforcement Services  </w:t>
      </w:r>
    </w:p>
    <w:p w:rsidR="00D72414" w:rsidRDefault="00C0362E">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rsidR="00D72414" w:rsidRDefault="00C0362E">
      <w:pPr>
        <w:numPr>
          <w:ilvl w:val="1"/>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All Charges for Enforcement Services will be calculated in accordance with the </w:t>
      </w:r>
      <w:r>
        <w:rPr>
          <w:rFonts w:ascii="Arial" w:eastAsia="Arial" w:hAnsi="Arial" w:cs="Arial"/>
          <w:b/>
          <w:color w:val="000000"/>
          <w:sz w:val="20"/>
          <w:szCs w:val="20"/>
        </w:rPr>
        <w:t>Taking Control of Goods (Fees) Regulations 2014</w:t>
      </w:r>
      <w:r>
        <w:rPr>
          <w:rFonts w:ascii="Arial" w:eastAsia="Arial" w:hAnsi="Arial" w:cs="Arial"/>
          <w:color w:val="000000"/>
          <w:sz w:val="20"/>
          <w:szCs w:val="20"/>
        </w:rPr>
        <w:t xml:space="preserve"> with the exception of Arrest Warrants and International Foreign Registered Vehicle (FRV) Enforcement.</w:t>
      </w:r>
    </w:p>
    <w:p w:rsidR="00D72414" w:rsidRDefault="00D72414">
      <w:pPr>
        <w:pBdr>
          <w:top w:val="nil"/>
          <w:left w:val="nil"/>
          <w:bottom w:val="nil"/>
          <w:right w:val="nil"/>
          <w:between w:val="nil"/>
        </w:pBdr>
        <w:ind w:left="360"/>
        <w:jc w:val="both"/>
        <w:rPr>
          <w:rFonts w:ascii="Arial" w:eastAsia="Arial" w:hAnsi="Arial" w:cs="Arial"/>
          <w:color w:val="000000"/>
          <w:sz w:val="20"/>
          <w:szCs w:val="20"/>
        </w:rPr>
      </w:pPr>
    </w:p>
    <w:p w:rsidR="00D72414" w:rsidRDefault="00C0362E">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rsidR="00D72414" w:rsidRDefault="00C0362E">
      <w:pPr>
        <w:numPr>
          <w:ilvl w:val="1"/>
          <w:numId w:val="7"/>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 xml:space="preserve">Arrest Warrants </w:t>
      </w:r>
    </w:p>
    <w:p w:rsidR="00D72414" w:rsidRDefault="00C0362E">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rsidR="00D72414" w:rsidRDefault="00C0362E">
      <w:pPr>
        <w:numPr>
          <w:ilvl w:val="2"/>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Charges for Arrest Warrants shall be calculated on a Fixed Price per Unit basis, relating to the activities detailed within URN 5.0a to 5.0c within Part x of Schedule 1 (Framework Specification), and as set out in the Table below.</w:t>
      </w:r>
    </w:p>
    <w:p w:rsidR="00D72414" w:rsidRDefault="00D72414">
      <w:pPr>
        <w:pBdr>
          <w:top w:val="nil"/>
          <w:left w:val="nil"/>
          <w:bottom w:val="nil"/>
          <w:right w:val="nil"/>
          <w:between w:val="nil"/>
        </w:pBdr>
        <w:ind w:left="720"/>
        <w:jc w:val="both"/>
        <w:rPr>
          <w:rFonts w:ascii="Arial" w:eastAsia="Arial" w:hAnsi="Arial" w:cs="Arial"/>
          <w:color w:val="000000"/>
          <w:sz w:val="20"/>
          <w:szCs w:val="20"/>
        </w:rPr>
      </w:pPr>
    </w:p>
    <w:p w:rsidR="00D72414" w:rsidRDefault="00C0362E">
      <w:pPr>
        <w:pBdr>
          <w:top w:val="nil"/>
          <w:left w:val="nil"/>
          <w:bottom w:val="nil"/>
          <w:right w:val="nil"/>
          <w:between w:val="nil"/>
        </w:pBdr>
        <w:ind w:left="709"/>
        <w:jc w:val="both"/>
        <w:rPr>
          <w:rFonts w:ascii="Arial" w:eastAsia="Arial" w:hAnsi="Arial" w:cs="Arial"/>
          <w:b/>
          <w:color w:val="000000"/>
          <w:sz w:val="20"/>
          <w:szCs w:val="20"/>
        </w:rPr>
      </w:pPr>
      <w:r>
        <w:rPr>
          <w:rFonts w:ascii="Arial" w:eastAsia="Arial" w:hAnsi="Arial" w:cs="Arial"/>
          <w:b/>
          <w:color w:val="000000"/>
          <w:sz w:val="20"/>
          <w:szCs w:val="20"/>
        </w:rPr>
        <w:t>Table 1</w:t>
      </w:r>
    </w:p>
    <w:p w:rsidR="00D72414" w:rsidRDefault="00D72414">
      <w:pPr>
        <w:pBdr>
          <w:top w:val="nil"/>
          <w:left w:val="nil"/>
          <w:bottom w:val="nil"/>
          <w:right w:val="nil"/>
          <w:between w:val="nil"/>
        </w:pBdr>
        <w:ind w:left="709"/>
        <w:jc w:val="both"/>
        <w:rPr>
          <w:rFonts w:ascii="Arial" w:eastAsia="Arial" w:hAnsi="Arial" w:cs="Arial"/>
          <w:b/>
          <w:color w:val="000000"/>
          <w:sz w:val="20"/>
          <w:szCs w:val="20"/>
        </w:rPr>
      </w:pPr>
    </w:p>
    <w:tbl>
      <w:tblPr>
        <w:tblStyle w:val="affff7"/>
        <w:tblW w:w="8306"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3801"/>
        <w:gridCol w:w="4505"/>
      </w:tblGrid>
      <w:tr w:rsidR="00D72414">
        <w:tc>
          <w:tcPr>
            <w:tcW w:w="3801" w:type="dxa"/>
          </w:tcPr>
          <w:p w:rsidR="00D72414" w:rsidRDefault="00C0362E">
            <w:pPr>
              <w:pBdr>
                <w:top w:val="nil"/>
                <w:left w:val="nil"/>
                <w:bottom w:val="nil"/>
                <w:right w:val="nil"/>
                <w:between w:val="nil"/>
              </w:pBdr>
              <w:spacing w:before="240"/>
              <w:ind w:left="172"/>
              <w:jc w:val="both"/>
              <w:rPr>
                <w:rFonts w:ascii="Arial" w:eastAsia="Arial" w:hAnsi="Arial" w:cs="Arial"/>
                <w:b/>
                <w:sz w:val="20"/>
                <w:szCs w:val="20"/>
              </w:rPr>
            </w:pPr>
            <w:r>
              <w:rPr>
                <w:rFonts w:ascii="Arial" w:eastAsia="Arial" w:hAnsi="Arial" w:cs="Arial"/>
                <w:b/>
                <w:sz w:val="20"/>
                <w:szCs w:val="20"/>
              </w:rPr>
              <w:t>URN Activity</w:t>
            </w:r>
          </w:p>
        </w:tc>
        <w:tc>
          <w:tcPr>
            <w:tcW w:w="4505" w:type="dxa"/>
          </w:tcPr>
          <w:p w:rsidR="00D72414" w:rsidRDefault="00C0362E">
            <w:pPr>
              <w:pBdr>
                <w:top w:val="nil"/>
                <w:left w:val="nil"/>
                <w:bottom w:val="nil"/>
                <w:right w:val="nil"/>
                <w:between w:val="nil"/>
              </w:pBdr>
              <w:spacing w:before="240"/>
              <w:ind w:left="709"/>
              <w:jc w:val="both"/>
              <w:rPr>
                <w:rFonts w:ascii="Arial" w:eastAsia="Arial" w:hAnsi="Arial" w:cs="Arial"/>
                <w:b/>
                <w:sz w:val="20"/>
                <w:szCs w:val="20"/>
              </w:rPr>
            </w:pPr>
            <w:r>
              <w:rPr>
                <w:rFonts w:ascii="Arial" w:eastAsia="Arial" w:hAnsi="Arial" w:cs="Arial"/>
                <w:b/>
                <w:sz w:val="20"/>
                <w:szCs w:val="20"/>
              </w:rPr>
              <w:t>Fixed Price (£)</w:t>
            </w:r>
          </w:p>
        </w:tc>
      </w:tr>
      <w:tr w:rsidR="00D72414">
        <w:tc>
          <w:tcPr>
            <w:tcW w:w="3801" w:type="dxa"/>
          </w:tcPr>
          <w:p w:rsidR="00D72414" w:rsidRDefault="00C0362E">
            <w:pPr>
              <w:pBdr>
                <w:top w:val="nil"/>
                <w:left w:val="nil"/>
                <w:bottom w:val="nil"/>
                <w:right w:val="nil"/>
                <w:between w:val="nil"/>
              </w:pBdr>
              <w:spacing w:before="240"/>
              <w:ind w:left="172"/>
              <w:jc w:val="both"/>
              <w:rPr>
                <w:rFonts w:ascii="Arial" w:eastAsia="Arial" w:hAnsi="Arial" w:cs="Arial"/>
                <w:sz w:val="20"/>
                <w:szCs w:val="20"/>
              </w:rPr>
            </w:pPr>
            <w:r>
              <w:rPr>
                <w:rFonts w:ascii="Arial" w:eastAsia="Arial" w:hAnsi="Arial" w:cs="Arial"/>
                <w:sz w:val="20"/>
                <w:szCs w:val="20"/>
              </w:rPr>
              <w:t>5.0a Arrest without Bail</w:t>
            </w:r>
          </w:p>
        </w:tc>
        <w:tc>
          <w:tcPr>
            <w:tcW w:w="4505" w:type="dxa"/>
          </w:tcPr>
          <w:p w:rsidR="00D72414" w:rsidRDefault="00D72414">
            <w:pPr>
              <w:pBdr>
                <w:top w:val="nil"/>
                <w:left w:val="nil"/>
                <w:bottom w:val="nil"/>
                <w:right w:val="nil"/>
                <w:between w:val="nil"/>
              </w:pBdr>
              <w:spacing w:before="240"/>
              <w:ind w:left="709"/>
              <w:jc w:val="both"/>
              <w:rPr>
                <w:rFonts w:ascii="Arial" w:eastAsia="Arial" w:hAnsi="Arial" w:cs="Arial"/>
                <w:b/>
                <w:sz w:val="20"/>
                <w:szCs w:val="20"/>
              </w:rPr>
            </w:pPr>
          </w:p>
        </w:tc>
      </w:tr>
      <w:tr w:rsidR="00D72414">
        <w:tc>
          <w:tcPr>
            <w:tcW w:w="3801" w:type="dxa"/>
          </w:tcPr>
          <w:p w:rsidR="00D72414" w:rsidRDefault="00C0362E">
            <w:pPr>
              <w:pBdr>
                <w:top w:val="nil"/>
                <w:left w:val="nil"/>
                <w:bottom w:val="nil"/>
                <w:right w:val="nil"/>
                <w:between w:val="nil"/>
              </w:pBdr>
              <w:spacing w:before="240"/>
              <w:ind w:left="172"/>
              <w:jc w:val="both"/>
              <w:rPr>
                <w:rFonts w:ascii="Arial" w:eastAsia="Arial" w:hAnsi="Arial" w:cs="Arial"/>
                <w:sz w:val="20"/>
                <w:szCs w:val="20"/>
              </w:rPr>
            </w:pPr>
            <w:r>
              <w:rPr>
                <w:rFonts w:ascii="Arial" w:eastAsia="Arial" w:hAnsi="Arial" w:cs="Arial"/>
                <w:sz w:val="20"/>
                <w:szCs w:val="20"/>
              </w:rPr>
              <w:t>5.0b Arrest with Bail</w:t>
            </w:r>
          </w:p>
        </w:tc>
        <w:tc>
          <w:tcPr>
            <w:tcW w:w="4505" w:type="dxa"/>
          </w:tcPr>
          <w:p w:rsidR="00D72414" w:rsidRDefault="00D72414">
            <w:pPr>
              <w:pBdr>
                <w:top w:val="nil"/>
                <w:left w:val="nil"/>
                <w:bottom w:val="nil"/>
                <w:right w:val="nil"/>
                <w:between w:val="nil"/>
              </w:pBdr>
              <w:spacing w:before="240"/>
              <w:ind w:left="709"/>
              <w:jc w:val="both"/>
              <w:rPr>
                <w:rFonts w:ascii="Arial" w:eastAsia="Arial" w:hAnsi="Arial" w:cs="Arial"/>
                <w:b/>
                <w:sz w:val="20"/>
                <w:szCs w:val="20"/>
              </w:rPr>
            </w:pPr>
          </w:p>
        </w:tc>
      </w:tr>
      <w:tr w:rsidR="00D72414">
        <w:tc>
          <w:tcPr>
            <w:tcW w:w="3801" w:type="dxa"/>
          </w:tcPr>
          <w:p w:rsidR="00D72414" w:rsidRDefault="00C0362E">
            <w:pPr>
              <w:pBdr>
                <w:top w:val="nil"/>
                <w:left w:val="nil"/>
                <w:bottom w:val="nil"/>
                <w:right w:val="nil"/>
                <w:between w:val="nil"/>
              </w:pBdr>
              <w:spacing w:before="240"/>
              <w:ind w:left="172"/>
              <w:jc w:val="both"/>
              <w:rPr>
                <w:rFonts w:ascii="Arial" w:eastAsia="Arial" w:hAnsi="Arial" w:cs="Arial"/>
                <w:sz w:val="20"/>
                <w:szCs w:val="20"/>
              </w:rPr>
            </w:pPr>
            <w:r>
              <w:rPr>
                <w:rFonts w:ascii="Arial" w:eastAsia="Arial" w:hAnsi="Arial" w:cs="Arial"/>
                <w:sz w:val="20"/>
                <w:szCs w:val="20"/>
              </w:rPr>
              <w:t xml:space="preserve">5.0c Committal </w:t>
            </w:r>
          </w:p>
        </w:tc>
        <w:tc>
          <w:tcPr>
            <w:tcW w:w="4505" w:type="dxa"/>
          </w:tcPr>
          <w:p w:rsidR="00D72414" w:rsidRDefault="00D72414">
            <w:pPr>
              <w:pBdr>
                <w:top w:val="nil"/>
                <w:left w:val="nil"/>
                <w:bottom w:val="nil"/>
                <w:right w:val="nil"/>
                <w:between w:val="nil"/>
              </w:pBdr>
              <w:spacing w:before="240"/>
              <w:ind w:left="709"/>
              <w:jc w:val="both"/>
              <w:rPr>
                <w:rFonts w:ascii="Arial" w:eastAsia="Arial" w:hAnsi="Arial" w:cs="Arial"/>
                <w:b/>
                <w:sz w:val="20"/>
                <w:szCs w:val="20"/>
              </w:rPr>
            </w:pPr>
          </w:p>
        </w:tc>
      </w:tr>
    </w:tbl>
    <w:p w:rsidR="00D72414" w:rsidRDefault="00C0362E">
      <w:pPr>
        <w:pBdr>
          <w:top w:val="nil"/>
          <w:left w:val="nil"/>
          <w:bottom w:val="nil"/>
          <w:right w:val="nil"/>
          <w:between w:val="nil"/>
        </w:pBdr>
        <w:spacing w:before="240"/>
        <w:ind w:left="360"/>
        <w:jc w:val="both"/>
        <w:rPr>
          <w:rFonts w:ascii="Arial" w:eastAsia="Arial" w:hAnsi="Arial" w:cs="Arial"/>
          <w:b/>
          <w:color w:val="000000"/>
          <w:sz w:val="20"/>
          <w:szCs w:val="20"/>
        </w:rPr>
      </w:pPr>
      <w:r>
        <w:rPr>
          <w:rFonts w:ascii="Arial" w:eastAsia="Arial" w:hAnsi="Arial" w:cs="Arial"/>
          <w:b/>
          <w:color w:val="000000"/>
          <w:sz w:val="20"/>
          <w:szCs w:val="20"/>
        </w:rPr>
        <w:br/>
      </w:r>
    </w:p>
    <w:p w:rsidR="00D72414" w:rsidRDefault="00D72414">
      <w:pPr>
        <w:pBdr>
          <w:top w:val="nil"/>
          <w:left w:val="nil"/>
          <w:bottom w:val="nil"/>
          <w:right w:val="nil"/>
          <w:between w:val="nil"/>
        </w:pBdr>
        <w:ind w:left="360"/>
        <w:jc w:val="both"/>
        <w:rPr>
          <w:rFonts w:ascii="Arial" w:eastAsia="Arial" w:hAnsi="Arial" w:cs="Arial"/>
          <w:b/>
          <w:color w:val="000000"/>
          <w:sz w:val="20"/>
          <w:szCs w:val="20"/>
        </w:rPr>
      </w:pPr>
    </w:p>
    <w:p w:rsidR="00D72414" w:rsidRDefault="00C0362E">
      <w:pPr>
        <w:numPr>
          <w:ilvl w:val="1"/>
          <w:numId w:val="7"/>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International Foreign Registered Vehicle (FRV) Enforcement (Optional Service)</w:t>
      </w:r>
    </w:p>
    <w:p w:rsidR="00D72414" w:rsidRDefault="00C0362E">
      <w:pPr>
        <w:pBdr>
          <w:top w:val="nil"/>
          <w:left w:val="nil"/>
          <w:bottom w:val="nil"/>
          <w:right w:val="nil"/>
          <w:between w:val="nil"/>
        </w:pBdr>
        <w:ind w:left="360"/>
        <w:jc w:val="both"/>
        <w:rPr>
          <w:rFonts w:ascii="Arial" w:eastAsia="Arial" w:hAnsi="Arial" w:cs="Arial"/>
          <w:b/>
          <w:color w:val="FF0000"/>
          <w:sz w:val="20"/>
          <w:szCs w:val="20"/>
        </w:rPr>
      </w:pPr>
      <w:r>
        <w:rPr>
          <w:rFonts w:ascii="Arial" w:eastAsia="Arial" w:hAnsi="Arial" w:cs="Arial"/>
          <w:b/>
          <w:color w:val="000000"/>
          <w:sz w:val="20"/>
          <w:szCs w:val="20"/>
        </w:rPr>
        <w:t xml:space="preserve"> </w:t>
      </w:r>
    </w:p>
    <w:p w:rsidR="00D72414" w:rsidRDefault="00C0362E">
      <w:pPr>
        <w:numPr>
          <w:ilvl w:val="2"/>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Charges for International FRV Enforcement shall be calculated on a Commission Price and Unit price basis as set out in Table 1 below</w:t>
      </w:r>
    </w:p>
    <w:p w:rsidR="00D72414" w:rsidRDefault="00C0362E">
      <w:pPr>
        <w:pBdr>
          <w:top w:val="nil"/>
          <w:left w:val="nil"/>
          <w:bottom w:val="nil"/>
          <w:right w:val="nil"/>
          <w:between w:val="nil"/>
        </w:pBdr>
        <w:ind w:left="720"/>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 </w:t>
      </w:r>
    </w:p>
    <w:p w:rsidR="00D72414" w:rsidRDefault="00C0362E">
      <w:pPr>
        <w:numPr>
          <w:ilvl w:val="2"/>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provide a list of those countries of origin of registered keepers within which it can provide the Service, and the Supplier shall provide both a) Commission Price and b) Unit Price for each such country of origin. The Supplier shall populate Table 3 below with these details.</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2"/>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Buyer at </w:t>
      </w:r>
      <w:proofErr w:type="spellStart"/>
      <w:proofErr w:type="gramStart"/>
      <w:r>
        <w:rPr>
          <w:rFonts w:ascii="Arial" w:eastAsia="Arial" w:hAnsi="Arial" w:cs="Arial"/>
          <w:color w:val="000000"/>
          <w:sz w:val="20"/>
          <w:szCs w:val="20"/>
        </w:rPr>
        <w:t>it’s</w:t>
      </w:r>
      <w:proofErr w:type="spellEnd"/>
      <w:proofErr w:type="gramEnd"/>
      <w:r>
        <w:rPr>
          <w:rFonts w:ascii="Arial" w:eastAsia="Arial" w:hAnsi="Arial" w:cs="Arial"/>
          <w:color w:val="000000"/>
          <w:sz w:val="20"/>
          <w:szCs w:val="20"/>
        </w:rPr>
        <w:t xml:space="preserve"> absolute discretion may select either the Commission Price or the Fixed Price for the Service.</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2"/>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Commission Price Charges for this Service will be calculated as a percentage (%) of the gross value of Debt Collected by the Supplier through delivering this Service. </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2"/>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Unit Price Charges for this Service will be calculated by multiplying the number of Accounts Placed by the relevant Unit Price. </w:t>
      </w:r>
    </w:p>
    <w:p w:rsidR="00D72414" w:rsidRDefault="00D72414">
      <w:pPr>
        <w:pBdr>
          <w:top w:val="nil"/>
          <w:left w:val="nil"/>
          <w:bottom w:val="nil"/>
          <w:right w:val="nil"/>
          <w:between w:val="nil"/>
        </w:pBdr>
        <w:spacing w:before="240"/>
        <w:jc w:val="both"/>
        <w:rPr>
          <w:rFonts w:ascii="Arial" w:eastAsia="Arial" w:hAnsi="Arial" w:cs="Arial"/>
          <w:b/>
          <w:sz w:val="20"/>
          <w:szCs w:val="20"/>
        </w:rPr>
      </w:pPr>
    </w:p>
    <w:p w:rsidR="00D72414" w:rsidRDefault="00D72414">
      <w:pPr>
        <w:pBdr>
          <w:top w:val="nil"/>
          <w:left w:val="nil"/>
          <w:bottom w:val="nil"/>
          <w:right w:val="nil"/>
          <w:between w:val="nil"/>
        </w:pBdr>
        <w:spacing w:before="240"/>
        <w:jc w:val="both"/>
        <w:rPr>
          <w:rFonts w:ascii="Arial" w:eastAsia="Arial" w:hAnsi="Arial" w:cs="Arial"/>
          <w:b/>
          <w:sz w:val="20"/>
          <w:szCs w:val="20"/>
        </w:rPr>
      </w:pPr>
    </w:p>
    <w:p w:rsidR="00D72414" w:rsidRDefault="00C0362E">
      <w:pPr>
        <w:pBdr>
          <w:top w:val="nil"/>
          <w:left w:val="nil"/>
          <w:bottom w:val="nil"/>
          <w:right w:val="nil"/>
          <w:between w:val="nil"/>
        </w:pBdr>
        <w:spacing w:before="240"/>
        <w:ind w:left="709"/>
        <w:jc w:val="both"/>
        <w:rPr>
          <w:rFonts w:ascii="Arial" w:eastAsia="Arial" w:hAnsi="Arial" w:cs="Arial"/>
          <w:b/>
          <w:sz w:val="20"/>
          <w:szCs w:val="20"/>
        </w:rPr>
      </w:pPr>
      <w:r>
        <w:rPr>
          <w:rFonts w:ascii="Arial" w:eastAsia="Arial" w:hAnsi="Arial" w:cs="Arial"/>
          <w:b/>
          <w:sz w:val="20"/>
          <w:szCs w:val="20"/>
        </w:rPr>
        <w:t xml:space="preserve">Table 3 </w:t>
      </w:r>
    </w:p>
    <w:p w:rsidR="00D72414" w:rsidRDefault="00D72414">
      <w:pPr>
        <w:pBdr>
          <w:top w:val="nil"/>
          <w:left w:val="nil"/>
          <w:bottom w:val="nil"/>
          <w:right w:val="nil"/>
          <w:between w:val="nil"/>
        </w:pBdr>
        <w:spacing w:before="240"/>
        <w:ind w:left="720"/>
        <w:jc w:val="both"/>
        <w:rPr>
          <w:rFonts w:ascii="Arial" w:eastAsia="Arial" w:hAnsi="Arial" w:cs="Arial"/>
          <w:b/>
          <w:color w:val="000000"/>
          <w:sz w:val="20"/>
          <w:szCs w:val="20"/>
        </w:rPr>
      </w:pPr>
    </w:p>
    <w:tbl>
      <w:tblPr>
        <w:tblStyle w:val="affff8"/>
        <w:tblW w:w="8222" w:type="dxa"/>
        <w:tblInd w:w="704"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3801"/>
        <w:gridCol w:w="2011"/>
        <w:gridCol w:w="2410"/>
      </w:tblGrid>
      <w:tr w:rsidR="00D72414">
        <w:tc>
          <w:tcPr>
            <w:tcW w:w="3801"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(URN) 5.0d Registered Keeper’s Country of Origin</w:t>
            </w:r>
          </w:p>
        </w:tc>
        <w:tc>
          <w:tcPr>
            <w:tcW w:w="2011"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Commission Price %</w:t>
            </w:r>
          </w:p>
        </w:tc>
        <w:tc>
          <w:tcPr>
            <w:tcW w:w="2410"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Unit Price £</w:t>
            </w:r>
          </w:p>
        </w:tc>
      </w:tr>
      <w:tr w:rsidR="00D72414">
        <w:tc>
          <w:tcPr>
            <w:tcW w:w="3801" w:type="dxa"/>
          </w:tcPr>
          <w:p w:rsidR="00D72414" w:rsidRDefault="00D72414">
            <w:pPr>
              <w:spacing w:before="240"/>
              <w:jc w:val="both"/>
              <w:rPr>
                <w:rFonts w:ascii="Arial" w:eastAsia="Arial" w:hAnsi="Arial" w:cs="Arial"/>
                <w:sz w:val="20"/>
                <w:szCs w:val="20"/>
              </w:rPr>
            </w:pPr>
          </w:p>
        </w:tc>
        <w:tc>
          <w:tcPr>
            <w:tcW w:w="2011" w:type="dxa"/>
          </w:tcPr>
          <w:p w:rsidR="00D72414" w:rsidRDefault="00D72414">
            <w:pPr>
              <w:spacing w:before="240"/>
              <w:jc w:val="both"/>
              <w:rPr>
                <w:rFonts w:ascii="Arial" w:eastAsia="Arial" w:hAnsi="Arial" w:cs="Arial"/>
                <w:sz w:val="20"/>
                <w:szCs w:val="20"/>
              </w:rPr>
            </w:pPr>
          </w:p>
        </w:tc>
        <w:tc>
          <w:tcPr>
            <w:tcW w:w="2410" w:type="dxa"/>
          </w:tcPr>
          <w:p w:rsidR="00D72414" w:rsidRDefault="00D72414">
            <w:pPr>
              <w:spacing w:before="240"/>
              <w:jc w:val="both"/>
              <w:rPr>
                <w:rFonts w:ascii="Arial" w:eastAsia="Arial" w:hAnsi="Arial" w:cs="Arial"/>
                <w:sz w:val="20"/>
                <w:szCs w:val="20"/>
              </w:rPr>
            </w:pPr>
          </w:p>
        </w:tc>
      </w:tr>
    </w:tbl>
    <w:p w:rsidR="00D72414" w:rsidRDefault="00D72414">
      <w:pPr>
        <w:pBdr>
          <w:top w:val="nil"/>
          <w:left w:val="nil"/>
          <w:bottom w:val="nil"/>
          <w:right w:val="nil"/>
          <w:between w:val="nil"/>
        </w:pBdr>
        <w:spacing w:before="240"/>
        <w:jc w:val="both"/>
        <w:rPr>
          <w:rFonts w:ascii="Arial" w:eastAsia="Arial" w:hAnsi="Arial" w:cs="Arial"/>
          <w:color w:val="000000"/>
          <w:sz w:val="20"/>
          <w:szCs w:val="20"/>
        </w:rPr>
      </w:pPr>
    </w:p>
    <w:p w:rsidR="00D72414" w:rsidRDefault="00C0362E">
      <w:pPr>
        <w:pBdr>
          <w:top w:val="nil"/>
          <w:left w:val="nil"/>
          <w:bottom w:val="nil"/>
          <w:right w:val="nil"/>
          <w:between w:val="nil"/>
        </w:pBdr>
        <w:spacing w:before="240"/>
        <w:jc w:val="both"/>
        <w:rPr>
          <w:rFonts w:ascii="Arial" w:eastAsia="Arial" w:hAnsi="Arial" w:cs="Arial"/>
          <w:b/>
          <w:color w:val="000000"/>
          <w:sz w:val="22"/>
          <w:szCs w:val="22"/>
        </w:rPr>
      </w:pPr>
      <w:r>
        <w:rPr>
          <w:rFonts w:ascii="Arial" w:eastAsia="Arial" w:hAnsi="Arial" w:cs="Arial"/>
          <w:b/>
          <w:color w:val="000000"/>
          <w:sz w:val="22"/>
          <w:szCs w:val="22"/>
        </w:rPr>
        <w:t>PART G</w:t>
      </w:r>
    </w:p>
    <w:p w:rsidR="00D72414" w:rsidRDefault="00C0362E">
      <w:pPr>
        <w:numPr>
          <w:ilvl w:val="0"/>
          <w:numId w:val="4"/>
        </w:numPr>
        <w:pBdr>
          <w:top w:val="nil"/>
          <w:left w:val="nil"/>
          <w:bottom w:val="nil"/>
          <w:right w:val="nil"/>
          <w:between w:val="nil"/>
        </w:pBdr>
        <w:spacing w:before="240"/>
        <w:jc w:val="both"/>
        <w:rPr>
          <w:rFonts w:ascii="Arial" w:eastAsia="Arial" w:hAnsi="Arial" w:cs="Arial"/>
          <w:b/>
          <w:color w:val="000000"/>
          <w:sz w:val="20"/>
          <w:szCs w:val="20"/>
          <w:u w:val="single"/>
        </w:rPr>
      </w:pPr>
      <w:r>
        <w:rPr>
          <w:rFonts w:ascii="Arial" w:eastAsia="Arial" w:hAnsi="Arial" w:cs="Arial"/>
          <w:b/>
          <w:color w:val="000000"/>
          <w:sz w:val="20"/>
          <w:szCs w:val="20"/>
          <w:u w:val="single"/>
        </w:rPr>
        <w:t>Part G: Litigation England and Wales URN 6.0</w:t>
      </w:r>
    </w:p>
    <w:p w:rsidR="00D72414" w:rsidRDefault="00D72414">
      <w:pPr>
        <w:pBdr>
          <w:top w:val="nil"/>
          <w:left w:val="nil"/>
          <w:bottom w:val="nil"/>
          <w:right w:val="nil"/>
          <w:between w:val="nil"/>
        </w:pBdr>
        <w:ind w:left="360"/>
        <w:jc w:val="both"/>
        <w:rPr>
          <w:rFonts w:ascii="Arial" w:eastAsia="Arial" w:hAnsi="Arial" w:cs="Arial"/>
          <w:b/>
          <w:color w:val="000000"/>
          <w:sz w:val="20"/>
          <w:szCs w:val="20"/>
        </w:rPr>
      </w:pPr>
    </w:p>
    <w:p w:rsidR="00D72414" w:rsidRDefault="00C0362E">
      <w:pPr>
        <w:numPr>
          <w:ilvl w:val="1"/>
          <w:numId w:val="4"/>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Charges for this Service exclude any fees set within the Civil Procedure Rules (CPR). The Charges are intended to cover the direct costs of the Service between the Buyer and Supplier, and CPR fees should be invoiced as a </w:t>
      </w:r>
      <w:proofErr w:type="gramStart"/>
      <w:r>
        <w:rPr>
          <w:rFonts w:ascii="Arial" w:eastAsia="Arial" w:hAnsi="Arial" w:cs="Arial"/>
          <w:color w:val="000000"/>
          <w:sz w:val="20"/>
          <w:szCs w:val="20"/>
        </w:rPr>
        <w:t>Pass Through</w:t>
      </w:r>
      <w:proofErr w:type="gramEnd"/>
      <w:r>
        <w:rPr>
          <w:rFonts w:ascii="Arial" w:eastAsia="Arial" w:hAnsi="Arial" w:cs="Arial"/>
          <w:color w:val="000000"/>
          <w:sz w:val="20"/>
          <w:szCs w:val="20"/>
        </w:rPr>
        <w:t xml:space="preserve"> Charge payable by the Buyer.</w:t>
      </w:r>
    </w:p>
    <w:p w:rsidR="00D72414" w:rsidRDefault="00D72414">
      <w:pPr>
        <w:pBdr>
          <w:top w:val="nil"/>
          <w:left w:val="nil"/>
          <w:bottom w:val="nil"/>
          <w:right w:val="nil"/>
          <w:between w:val="nil"/>
        </w:pBdr>
        <w:ind w:left="360"/>
        <w:jc w:val="both"/>
        <w:rPr>
          <w:rFonts w:ascii="Arial" w:eastAsia="Arial" w:hAnsi="Arial" w:cs="Arial"/>
          <w:color w:val="000000"/>
          <w:sz w:val="20"/>
          <w:szCs w:val="20"/>
        </w:rPr>
      </w:pPr>
    </w:p>
    <w:p w:rsidR="00D72414" w:rsidRDefault="00C0362E">
      <w:pPr>
        <w:numPr>
          <w:ilvl w:val="2"/>
          <w:numId w:val="4"/>
        </w:numPr>
        <w:pBdr>
          <w:top w:val="nil"/>
          <w:left w:val="nil"/>
          <w:bottom w:val="nil"/>
          <w:right w:val="nil"/>
          <w:between w:val="nil"/>
        </w:pBdr>
        <w:ind w:left="1134"/>
        <w:jc w:val="both"/>
        <w:rPr>
          <w:rFonts w:ascii="Arial" w:eastAsia="Arial" w:hAnsi="Arial" w:cs="Arial"/>
          <w:color w:val="000000"/>
          <w:sz w:val="20"/>
          <w:szCs w:val="20"/>
        </w:rPr>
      </w:pPr>
      <w:r>
        <w:rPr>
          <w:rFonts w:ascii="Arial" w:eastAsia="Arial" w:hAnsi="Arial" w:cs="Arial"/>
          <w:color w:val="000000"/>
          <w:sz w:val="20"/>
          <w:szCs w:val="20"/>
        </w:rPr>
        <w:t>The Charges for the Services are calculated as either a Fixed Price under Table 1 below or as Disbursements under Table 2.</w:t>
      </w:r>
    </w:p>
    <w:p w:rsidR="00D72414" w:rsidRDefault="00C0362E">
      <w:pPr>
        <w:pBdr>
          <w:top w:val="nil"/>
          <w:left w:val="nil"/>
          <w:bottom w:val="nil"/>
          <w:right w:val="nil"/>
          <w:between w:val="nil"/>
        </w:pBdr>
        <w:ind w:left="1134"/>
        <w:jc w:val="both"/>
        <w:rPr>
          <w:rFonts w:ascii="Arial" w:eastAsia="Arial" w:hAnsi="Arial" w:cs="Arial"/>
          <w:color w:val="000000"/>
          <w:sz w:val="20"/>
          <w:szCs w:val="20"/>
        </w:rPr>
      </w:pPr>
      <w:r>
        <w:rPr>
          <w:rFonts w:ascii="Arial" w:eastAsia="Arial" w:hAnsi="Arial" w:cs="Arial"/>
          <w:color w:val="000000"/>
          <w:sz w:val="20"/>
          <w:szCs w:val="20"/>
        </w:rPr>
        <w:t xml:space="preserve"> </w:t>
      </w:r>
    </w:p>
    <w:p w:rsidR="00D72414" w:rsidRDefault="00C0362E">
      <w:pPr>
        <w:numPr>
          <w:ilvl w:val="2"/>
          <w:numId w:val="4"/>
        </w:numPr>
        <w:pBdr>
          <w:top w:val="nil"/>
          <w:left w:val="nil"/>
          <w:bottom w:val="nil"/>
          <w:right w:val="nil"/>
          <w:between w:val="nil"/>
        </w:pBdr>
        <w:ind w:left="1134"/>
        <w:jc w:val="both"/>
        <w:rPr>
          <w:rFonts w:ascii="Arial" w:eastAsia="Arial" w:hAnsi="Arial" w:cs="Arial"/>
          <w:color w:val="000000"/>
          <w:sz w:val="20"/>
          <w:szCs w:val="20"/>
        </w:rPr>
      </w:pPr>
      <w:r>
        <w:rPr>
          <w:rFonts w:ascii="Arial" w:eastAsia="Arial" w:hAnsi="Arial" w:cs="Arial"/>
          <w:color w:val="000000"/>
          <w:sz w:val="20"/>
          <w:szCs w:val="20"/>
        </w:rPr>
        <w:t>Fixed Price activities are calculated per unit of activity cost as detailed in Table 1 below</w:t>
      </w:r>
    </w:p>
    <w:p w:rsidR="00D72414" w:rsidRDefault="00D72414">
      <w:pPr>
        <w:pBdr>
          <w:top w:val="nil"/>
          <w:left w:val="nil"/>
          <w:bottom w:val="nil"/>
          <w:right w:val="nil"/>
          <w:between w:val="nil"/>
        </w:pBdr>
        <w:ind w:left="1134"/>
        <w:rPr>
          <w:rFonts w:ascii="Arial" w:eastAsia="Arial" w:hAnsi="Arial" w:cs="Arial"/>
          <w:color w:val="000000"/>
          <w:sz w:val="20"/>
          <w:szCs w:val="20"/>
        </w:rPr>
      </w:pPr>
    </w:p>
    <w:p w:rsidR="00D72414" w:rsidRDefault="00C0362E">
      <w:pPr>
        <w:numPr>
          <w:ilvl w:val="2"/>
          <w:numId w:val="4"/>
        </w:numPr>
        <w:pBdr>
          <w:top w:val="nil"/>
          <w:left w:val="nil"/>
          <w:bottom w:val="nil"/>
          <w:right w:val="nil"/>
          <w:between w:val="nil"/>
        </w:pBdr>
        <w:ind w:left="1134"/>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Disbursements are calculated on a rate card basis in accordance with Table 2 below. Prior to commencing any Litigation activity, the Supplier will provide a) a CPR and Disbursements Costs Proposal where the Charges are known, or b) an indicative CPR and Disbursements Costs Proposal where the Charges can only be forecast, to the Buyer for Approval. </w:t>
      </w:r>
    </w:p>
    <w:p w:rsidR="00D72414" w:rsidRDefault="00D72414">
      <w:pPr>
        <w:pBdr>
          <w:top w:val="nil"/>
          <w:left w:val="nil"/>
          <w:bottom w:val="nil"/>
          <w:right w:val="nil"/>
          <w:between w:val="nil"/>
        </w:pBdr>
        <w:ind w:left="1134"/>
        <w:rPr>
          <w:rFonts w:ascii="Arial" w:eastAsia="Arial" w:hAnsi="Arial" w:cs="Arial"/>
          <w:color w:val="000000"/>
          <w:sz w:val="20"/>
          <w:szCs w:val="20"/>
        </w:rPr>
      </w:pPr>
    </w:p>
    <w:p w:rsidR="00D72414" w:rsidRDefault="00C0362E">
      <w:pPr>
        <w:numPr>
          <w:ilvl w:val="2"/>
          <w:numId w:val="4"/>
        </w:numPr>
        <w:pBdr>
          <w:top w:val="nil"/>
          <w:left w:val="nil"/>
          <w:bottom w:val="nil"/>
          <w:right w:val="nil"/>
          <w:between w:val="nil"/>
        </w:pBdr>
        <w:ind w:left="1134"/>
        <w:jc w:val="both"/>
        <w:rPr>
          <w:rFonts w:ascii="Arial" w:eastAsia="Arial" w:hAnsi="Arial" w:cs="Arial"/>
          <w:color w:val="000000"/>
          <w:sz w:val="20"/>
          <w:szCs w:val="20"/>
        </w:rPr>
      </w:pPr>
      <w:r>
        <w:rPr>
          <w:rFonts w:ascii="Arial" w:eastAsia="Arial" w:hAnsi="Arial" w:cs="Arial"/>
          <w:color w:val="000000"/>
          <w:sz w:val="20"/>
          <w:szCs w:val="20"/>
        </w:rPr>
        <w:t>URN 6.0g applies to a Supplier that is using Subcontractors to deliver High Court Enforcement Services and the Charges set-out therein cover all Charges that may be claimed from the Buyer for this Service.</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1"/>
          <w:numId w:val="4"/>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Optional Prices</w:t>
      </w:r>
    </w:p>
    <w:p w:rsidR="00D72414" w:rsidRDefault="00C0362E">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rsidR="00D72414" w:rsidRDefault="00C0362E">
      <w:pPr>
        <w:numPr>
          <w:ilvl w:val="1"/>
          <w:numId w:val="4"/>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Further to Paragraph 1.1 above, a Supplier may provide optional prices for the Part G Litigation England and Wales Services for each of the activities in the Tables 1 and 2 below. </w:t>
      </w:r>
    </w:p>
    <w:p w:rsidR="00D72414" w:rsidRDefault="00C0362E">
      <w:pPr>
        <w:pBdr>
          <w:top w:val="nil"/>
          <w:left w:val="nil"/>
          <w:bottom w:val="nil"/>
          <w:right w:val="nil"/>
          <w:between w:val="nil"/>
        </w:pBdr>
        <w:spacing w:before="240"/>
        <w:ind w:left="426"/>
        <w:jc w:val="both"/>
        <w:rPr>
          <w:rFonts w:ascii="Arial" w:eastAsia="Arial" w:hAnsi="Arial" w:cs="Arial"/>
          <w:b/>
          <w:color w:val="000000"/>
          <w:sz w:val="20"/>
          <w:szCs w:val="20"/>
        </w:rPr>
      </w:pPr>
      <w:r>
        <w:rPr>
          <w:rFonts w:ascii="Arial" w:eastAsia="Arial" w:hAnsi="Arial" w:cs="Arial"/>
          <w:b/>
          <w:color w:val="000000"/>
          <w:sz w:val="20"/>
          <w:szCs w:val="20"/>
        </w:rPr>
        <w:t>Table 1 and 2</w:t>
      </w:r>
    </w:p>
    <w:p w:rsidR="00D72414" w:rsidRDefault="00D72414">
      <w:pPr>
        <w:pBdr>
          <w:top w:val="nil"/>
          <w:left w:val="nil"/>
          <w:bottom w:val="nil"/>
          <w:right w:val="nil"/>
          <w:between w:val="nil"/>
        </w:pBdr>
        <w:spacing w:before="240"/>
        <w:jc w:val="both"/>
        <w:rPr>
          <w:rFonts w:ascii="Arial" w:eastAsia="Arial" w:hAnsi="Arial" w:cs="Arial"/>
          <w:b/>
          <w:color w:val="000000"/>
          <w:sz w:val="20"/>
          <w:szCs w:val="20"/>
        </w:rPr>
      </w:pPr>
    </w:p>
    <w:tbl>
      <w:tblPr>
        <w:tblStyle w:val="affff9"/>
        <w:tblW w:w="14175" w:type="dxa"/>
        <w:tblInd w:w="421"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8505"/>
        <w:gridCol w:w="2693"/>
        <w:gridCol w:w="2977"/>
      </w:tblGrid>
      <w:tr w:rsidR="00D72414">
        <w:tc>
          <w:tcPr>
            <w:tcW w:w="8505" w:type="dxa"/>
            <w:shd w:val="clear" w:color="auto" w:fill="BFBFBF"/>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Table 1 URN 6.0a – 6.0r Fixed Price Activity</w:t>
            </w:r>
          </w:p>
        </w:tc>
        <w:tc>
          <w:tcPr>
            <w:tcW w:w="2693" w:type="dxa"/>
            <w:shd w:val="clear" w:color="auto" w:fill="BFBFBF"/>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Price (£)</w:t>
            </w:r>
          </w:p>
        </w:tc>
        <w:tc>
          <w:tcPr>
            <w:tcW w:w="2977" w:type="dxa"/>
            <w:shd w:val="clear" w:color="auto" w:fill="BFBFBF"/>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Optional Prices £</w:t>
            </w: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6.0a Judgement or equivalent Order to Enforce (as Approved by the Buyer)</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6.0b Pre-enforcement / Early action case management</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 xml:space="preserve">6.0c </w:t>
            </w:r>
            <w:proofErr w:type="gramStart"/>
            <w:r>
              <w:rPr>
                <w:rFonts w:ascii="Arial" w:eastAsia="Arial" w:hAnsi="Arial" w:cs="Arial"/>
                <w:sz w:val="20"/>
                <w:szCs w:val="20"/>
              </w:rPr>
              <w:t>Pre litigation</w:t>
            </w:r>
            <w:proofErr w:type="gramEnd"/>
            <w:r>
              <w:rPr>
                <w:rFonts w:ascii="Arial" w:eastAsia="Arial" w:hAnsi="Arial" w:cs="Arial"/>
                <w:sz w:val="20"/>
                <w:szCs w:val="20"/>
              </w:rPr>
              <w:t xml:space="preserve"> verification</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 xml:space="preserve">6..0d Warrant of Execution (County Court - bailiff to attend Customer’s address); </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6.0e Attachment of Earnings;</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6.0f Writ of Fi Fa (High Court);</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6.0g High Court Enforcement Agent Service;</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6.0h Third Party Debt Order;</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6.0i Charging Order (and obtaining restriction)</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6.0j Drive-by Asset Valuation</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lastRenderedPageBreak/>
              <w:t xml:space="preserve">6.0k Order for Sale </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6.0l Order to obtain information;</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6.0m Bankruptcy (including insolvency, as well as CVA, IVA proposals, and Debt Arrangement Schemes (Scotland);</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6,0n Order for Possession;</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6.0o Freezing Injunctions and search orders;</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6.0p Tomlin Order (court action is stayed);</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6.0q European Orders for Payment;</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6.0r European Small Claims Procedure or European Enforcement Order (as appropriate).</w:t>
            </w:r>
          </w:p>
        </w:tc>
        <w:tc>
          <w:tcPr>
            <w:tcW w:w="2693" w:type="dxa"/>
          </w:tcPr>
          <w:p w:rsidR="00D72414" w:rsidRDefault="00D72414">
            <w:pPr>
              <w:spacing w:before="240"/>
              <w:jc w:val="both"/>
              <w:rPr>
                <w:rFonts w:ascii="Arial" w:eastAsia="Arial" w:hAnsi="Arial" w:cs="Arial"/>
                <w:b/>
                <w:sz w:val="20"/>
                <w:szCs w:val="20"/>
              </w:rPr>
            </w:pPr>
          </w:p>
        </w:tc>
        <w:tc>
          <w:tcPr>
            <w:tcW w:w="2977" w:type="dxa"/>
          </w:tcPr>
          <w:p w:rsidR="00D72414" w:rsidRDefault="00D72414">
            <w:pPr>
              <w:spacing w:before="240"/>
              <w:jc w:val="both"/>
              <w:rPr>
                <w:rFonts w:ascii="Arial" w:eastAsia="Arial" w:hAnsi="Arial" w:cs="Arial"/>
                <w:b/>
                <w:sz w:val="20"/>
                <w:szCs w:val="20"/>
              </w:rPr>
            </w:pPr>
          </w:p>
        </w:tc>
      </w:tr>
      <w:tr w:rsidR="00D72414">
        <w:tc>
          <w:tcPr>
            <w:tcW w:w="8505" w:type="dxa"/>
            <w:shd w:val="clear" w:color="auto" w:fill="BFBFBF"/>
          </w:tcPr>
          <w:p w:rsidR="00D72414" w:rsidRDefault="00D72414">
            <w:pPr>
              <w:rPr>
                <w:rFonts w:ascii="Arial" w:eastAsia="Arial" w:hAnsi="Arial" w:cs="Arial"/>
                <w:b/>
                <w:sz w:val="20"/>
                <w:szCs w:val="20"/>
              </w:rPr>
            </w:pPr>
          </w:p>
          <w:p w:rsidR="00D72414" w:rsidRDefault="00C0362E">
            <w:pPr>
              <w:spacing w:before="240"/>
              <w:jc w:val="both"/>
              <w:rPr>
                <w:rFonts w:ascii="Arial" w:eastAsia="Arial" w:hAnsi="Arial" w:cs="Arial"/>
                <w:sz w:val="20"/>
                <w:szCs w:val="20"/>
              </w:rPr>
            </w:pPr>
            <w:r>
              <w:rPr>
                <w:rFonts w:ascii="Arial" w:eastAsia="Arial" w:hAnsi="Arial" w:cs="Arial"/>
                <w:b/>
                <w:sz w:val="20"/>
                <w:szCs w:val="20"/>
              </w:rPr>
              <w:t>Table 2 Disbursements</w:t>
            </w:r>
          </w:p>
        </w:tc>
        <w:tc>
          <w:tcPr>
            <w:tcW w:w="2693" w:type="dxa"/>
            <w:shd w:val="clear" w:color="auto" w:fill="BFBFBF"/>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Price ½ Hourly Rates (to the nearest £1)</w:t>
            </w:r>
          </w:p>
        </w:tc>
        <w:tc>
          <w:tcPr>
            <w:tcW w:w="2977" w:type="dxa"/>
            <w:shd w:val="clear" w:color="auto" w:fill="BFBFBF"/>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Optional Prices</w:t>
            </w:r>
          </w:p>
        </w:tc>
      </w:tr>
      <w:tr w:rsidR="00D72414">
        <w:tc>
          <w:tcPr>
            <w:tcW w:w="8505" w:type="dxa"/>
          </w:tcPr>
          <w:p w:rsidR="00D72414" w:rsidRDefault="00C0362E">
            <w:pPr>
              <w:rPr>
                <w:rFonts w:ascii="Arial" w:eastAsia="Arial" w:hAnsi="Arial" w:cs="Arial"/>
                <w:b/>
                <w:sz w:val="20"/>
                <w:szCs w:val="20"/>
              </w:rPr>
            </w:pPr>
            <w:r>
              <w:rPr>
                <w:rFonts w:ascii="Arial" w:eastAsia="Arial" w:hAnsi="Arial" w:cs="Arial"/>
                <w:b/>
                <w:sz w:val="20"/>
                <w:szCs w:val="20"/>
              </w:rPr>
              <w:t>URN 6.0s  Rate Card</w:t>
            </w:r>
          </w:p>
        </w:tc>
        <w:tc>
          <w:tcPr>
            <w:tcW w:w="2693" w:type="dxa"/>
          </w:tcPr>
          <w:p w:rsidR="00D72414" w:rsidRDefault="00D72414">
            <w:pPr>
              <w:rPr>
                <w:rFonts w:ascii="Arial" w:eastAsia="Arial" w:hAnsi="Arial" w:cs="Arial"/>
                <w:b/>
              </w:rPr>
            </w:pPr>
          </w:p>
        </w:tc>
        <w:tc>
          <w:tcPr>
            <w:tcW w:w="2977" w:type="dxa"/>
          </w:tcPr>
          <w:p w:rsidR="00D72414" w:rsidRDefault="00D72414">
            <w:pPr>
              <w:rPr>
                <w:rFonts w:ascii="Arial" w:eastAsia="Arial" w:hAnsi="Arial" w:cs="Arial"/>
                <w:b/>
              </w:rPr>
            </w:pPr>
          </w:p>
        </w:tc>
      </w:tr>
      <w:tr w:rsidR="00D72414">
        <w:tc>
          <w:tcPr>
            <w:tcW w:w="8505" w:type="dxa"/>
          </w:tcPr>
          <w:p w:rsidR="00D72414" w:rsidRDefault="00C0362E">
            <w:pPr>
              <w:rPr>
                <w:rFonts w:ascii="Arial" w:eastAsia="Arial" w:hAnsi="Arial" w:cs="Arial"/>
                <w:b/>
                <w:sz w:val="20"/>
                <w:szCs w:val="20"/>
              </w:rPr>
            </w:pPr>
            <w:r>
              <w:rPr>
                <w:rFonts w:ascii="Arial" w:eastAsia="Arial" w:hAnsi="Arial" w:cs="Arial"/>
                <w:b/>
                <w:sz w:val="20"/>
                <w:szCs w:val="20"/>
              </w:rPr>
              <w:t xml:space="preserve">Partner </w:t>
            </w:r>
          </w:p>
          <w:p w:rsidR="00D72414" w:rsidRDefault="00D72414">
            <w:pPr>
              <w:rPr>
                <w:rFonts w:ascii="Arial" w:eastAsia="Arial" w:hAnsi="Arial" w:cs="Arial"/>
                <w:sz w:val="20"/>
                <w:szCs w:val="20"/>
              </w:rPr>
            </w:pPr>
          </w:p>
          <w:p w:rsidR="00D72414" w:rsidRDefault="00C0362E">
            <w:pPr>
              <w:rPr>
                <w:rFonts w:ascii="Arial" w:eastAsia="Arial" w:hAnsi="Arial" w:cs="Arial"/>
                <w:color w:val="222222"/>
                <w:sz w:val="20"/>
                <w:szCs w:val="20"/>
              </w:rPr>
            </w:pPr>
            <w:r>
              <w:rPr>
                <w:rFonts w:ascii="Arial" w:eastAsia="Arial" w:hAnsi="Arial" w:cs="Arial"/>
                <w:color w:val="222222"/>
                <w:sz w:val="20"/>
                <w:szCs w:val="20"/>
              </w:rPr>
              <w:t>Typically expected to have 10-20 years’ experience.</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Main point of contact for day-to-day Buyer liaison (for more complex/significant and non-routine matters).</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Considered expert in the relevant field.</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Key Senior point of contact with the Buyer. </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Overall responsibility for quality assurance, success of project and supervision of Supplier Staff</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Overall responsibility for working within budgets agreed as part of a Call-Off Contract </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Appropriate direct contribution to complex/important legal matters relating to a Buyer’s Call-Off Contract</w:t>
            </w:r>
          </w:p>
          <w:p w:rsidR="00D72414" w:rsidRDefault="00D72414">
            <w:pPr>
              <w:rPr>
                <w:rFonts w:ascii="Arial" w:eastAsia="Arial" w:hAnsi="Arial" w:cs="Arial"/>
                <w:b/>
                <w:sz w:val="20"/>
                <w:szCs w:val="20"/>
              </w:rPr>
            </w:pPr>
          </w:p>
        </w:tc>
        <w:tc>
          <w:tcPr>
            <w:tcW w:w="2693" w:type="dxa"/>
          </w:tcPr>
          <w:p w:rsidR="00D72414" w:rsidRDefault="00D72414">
            <w:pPr>
              <w:rPr>
                <w:rFonts w:ascii="Arial" w:eastAsia="Arial" w:hAnsi="Arial" w:cs="Arial"/>
              </w:rPr>
            </w:pPr>
          </w:p>
        </w:tc>
        <w:tc>
          <w:tcPr>
            <w:tcW w:w="2977" w:type="dxa"/>
          </w:tcPr>
          <w:p w:rsidR="00D72414" w:rsidRDefault="00D72414">
            <w:pPr>
              <w:rPr>
                <w:rFonts w:ascii="Arial" w:eastAsia="Arial" w:hAnsi="Arial" w:cs="Arial"/>
              </w:rPr>
            </w:pPr>
          </w:p>
        </w:tc>
      </w:tr>
      <w:tr w:rsidR="00D72414">
        <w:tc>
          <w:tcPr>
            <w:tcW w:w="8505" w:type="dxa"/>
          </w:tcPr>
          <w:p w:rsidR="00D72414" w:rsidRDefault="00D72414">
            <w:pPr>
              <w:rPr>
                <w:rFonts w:ascii="Arial" w:eastAsia="Arial" w:hAnsi="Arial" w:cs="Arial"/>
                <w:sz w:val="20"/>
                <w:szCs w:val="20"/>
              </w:rPr>
            </w:pPr>
          </w:p>
          <w:p w:rsidR="00D72414" w:rsidRDefault="00C0362E">
            <w:pPr>
              <w:rPr>
                <w:rFonts w:ascii="Arial" w:eastAsia="Arial" w:hAnsi="Arial" w:cs="Arial"/>
                <w:b/>
                <w:sz w:val="20"/>
                <w:szCs w:val="20"/>
              </w:rPr>
            </w:pPr>
            <w:r>
              <w:rPr>
                <w:rFonts w:ascii="Arial" w:eastAsia="Arial" w:hAnsi="Arial" w:cs="Arial"/>
                <w:b/>
                <w:sz w:val="20"/>
                <w:szCs w:val="20"/>
              </w:rPr>
              <w:t>Associate</w:t>
            </w:r>
          </w:p>
          <w:p w:rsidR="00D72414" w:rsidRDefault="00D72414">
            <w:pPr>
              <w:rPr>
                <w:rFonts w:ascii="Arial" w:eastAsia="Arial" w:hAnsi="Arial" w:cs="Arial"/>
                <w:color w:val="222222"/>
                <w:sz w:val="20"/>
                <w:szCs w:val="20"/>
              </w:rPr>
            </w:pPr>
          </w:p>
          <w:p w:rsidR="00D72414" w:rsidRDefault="00C0362E">
            <w:pPr>
              <w:rPr>
                <w:rFonts w:ascii="Arial" w:eastAsia="Arial" w:hAnsi="Arial" w:cs="Arial"/>
                <w:color w:val="222222"/>
                <w:sz w:val="20"/>
                <w:szCs w:val="20"/>
              </w:rPr>
            </w:pPr>
            <w:r>
              <w:rPr>
                <w:rFonts w:ascii="Arial" w:eastAsia="Arial" w:hAnsi="Arial" w:cs="Arial"/>
                <w:color w:val="222222"/>
                <w:sz w:val="20"/>
                <w:szCs w:val="20"/>
              </w:rPr>
              <w:t xml:space="preserve">Typically expected to have 5-10 </w:t>
            </w:r>
            <w:proofErr w:type="gramStart"/>
            <w:r>
              <w:rPr>
                <w:rFonts w:ascii="Arial" w:eastAsia="Arial" w:hAnsi="Arial" w:cs="Arial"/>
                <w:color w:val="222222"/>
                <w:sz w:val="20"/>
                <w:szCs w:val="20"/>
              </w:rPr>
              <w:t>years’</w:t>
            </w:r>
            <w:proofErr w:type="gramEnd"/>
            <w:r>
              <w:rPr>
                <w:rFonts w:ascii="Arial" w:eastAsia="Arial" w:hAnsi="Arial" w:cs="Arial"/>
                <w:color w:val="222222"/>
                <w:sz w:val="20"/>
                <w:szCs w:val="20"/>
              </w:rPr>
              <w:t>. </w:t>
            </w:r>
          </w:p>
          <w:p w:rsidR="00D72414" w:rsidRDefault="00C0362E">
            <w:pPr>
              <w:rPr>
                <w:rFonts w:ascii="Arial" w:eastAsia="Arial" w:hAnsi="Arial" w:cs="Arial"/>
                <w:color w:val="222222"/>
                <w:sz w:val="20"/>
                <w:szCs w:val="20"/>
              </w:rPr>
            </w:pPr>
            <w:r>
              <w:rPr>
                <w:rFonts w:ascii="Arial" w:eastAsia="Arial" w:hAnsi="Arial" w:cs="Arial"/>
                <w:color w:val="222222"/>
                <w:sz w:val="20"/>
                <w:szCs w:val="20"/>
              </w:rPr>
              <w:lastRenderedPageBreak/>
              <w:t>Substantive experience and proficiency in the relevant field.</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Day-to-day matter management.</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Significant level of quality assurance.</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Appropriate direct contribution to difficult/important legal matters relating to a Buyer’s Call-Off Contract.</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Will involve more senior grades of lawyer, as appropriate. </w:t>
            </w:r>
          </w:p>
          <w:p w:rsidR="00D72414" w:rsidRDefault="00D72414">
            <w:pPr>
              <w:rPr>
                <w:rFonts w:ascii="Arial" w:eastAsia="Arial" w:hAnsi="Arial" w:cs="Arial"/>
                <w:color w:val="222222"/>
                <w:sz w:val="20"/>
                <w:szCs w:val="20"/>
              </w:rPr>
            </w:pPr>
          </w:p>
        </w:tc>
        <w:tc>
          <w:tcPr>
            <w:tcW w:w="2693" w:type="dxa"/>
          </w:tcPr>
          <w:p w:rsidR="00D72414" w:rsidRDefault="00D72414">
            <w:pPr>
              <w:rPr>
                <w:rFonts w:ascii="Arial" w:eastAsia="Arial" w:hAnsi="Arial" w:cs="Arial"/>
              </w:rPr>
            </w:pPr>
          </w:p>
        </w:tc>
        <w:tc>
          <w:tcPr>
            <w:tcW w:w="2977" w:type="dxa"/>
          </w:tcPr>
          <w:p w:rsidR="00D72414" w:rsidRDefault="00D72414">
            <w:pPr>
              <w:rPr>
                <w:rFonts w:ascii="Arial" w:eastAsia="Arial" w:hAnsi="Arial" w:cs="Arial"/>
              </w:rPr>
            </w:pPr>
          </w:p>
        </w:tc>
      </w:tr>
      <w:tr w:rsidR="00D72414">
        <w:tc>
          <w:tcPr>
            <w:tcW w:w="8505" w:type="dxa"/>
          </w:tcPr>
          <w:p w:rsidR="00D72414" w:rsidRDefault="00D72414">
            <w:pPr>
              <w:rPr>
                <w:rFonts w:ascii="Arial" w:eastAsia="Arial" w:hAnsi="Arial" w:cs="Arial"/>
                <w:b/>
                <w:sz w:val="20"/>
                <w:szCs w:val="20"/>
              </w:rPr>
            </w:pPr>
          </w:p>
          <w:p w:rsidR="00D72414" w:rsidRDefault="00C0362E">
            <w:pPr>
              <w:rPr>
                <w:rFonts w:ascii="Arial" w:eastAsia="Arial" w:hAnsi="Arial" w:cs="Arial"/>
                <w:b/>
                <w:sz w:val="20"/>
                <w:szCs w:val="20"/>
              </w:rPr>
            </w:pPr>
            <w:r>
              <w:rPr>
                <w:rFonts w:ascii="Arial" w:eastAsia="Arial" w:hAnsi="Arial" w:cs="Arial"/>
                <w:b/>
                <w:sz w:val="20"/>
                <w:szCs w:val="20"/>
              </w:rPr>
              <w:t>Solicitor</w:t>
            </w:r>
          </w:p>
          <w:p w:rsidR="00D72414" w:rsidRDefault="00D72414">
            <w:pPr>
              <w:ind w:left="720"/>
              <w:rPr>
                <w:rFonts w:ascii="Arial" w:eastAsia="Arial" w:hAnsi="Arial" w:cs="Arial"/>
                <w:sz w:val="20"/>
                <w:szCs w:val="20"/>
              </w:rPr>
            </w:pPr>
          </w:p>
          <w:p w:rsidR="00D72414" w:rsidRDefault="00C0362E">
            <w:pPr>
              <w:rPr>
                <w:rFonts w:ascii="Arial" w:eastAsia="Arial" w:hAnsi="Arial" w:cs="Arial"/>
                <w:color w:val="222222"/>
                <w:sz w:val="20"/>
                <w:szCs w:val="20"/>
              </w:rPr>
            </w:pPr>
            <w:r>
              <w:rPr>
                <w:rFonts w:ascii="Arial" w:eastAsia="Arial" w:hAnsi="Arial" w:cs="Arial"/>
                <w:color w:val="222222"/>
                <w:sz w:val="20"/>
                <w:szCs w:val="20"/>
              </w:rPr>
              <w:t>Typically expected to have 3-5 years’ PQE.</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Main contact for the Buyer where a qualified Solicitor is required for advice and action in more complex Cases.</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Will involve more senior grades of lawyer, as appropriate.</w:t>
            </w:r>
          </w:p>
          <w:p w:rsidR="00D72414" w:rsidRDefault="00D72414">
            <w:pPr>
              <w:rPr>
                <w:rFonts w:ascii="Arial" w:eastAsia="Arial" w:hAnsi="Arial" w:cs="Arial"/>
                <w:sz w:val="20"/>
                <w:szCs w:val="20"/>
              </w:rPr>
            </w:pPr>
          </w:p>
        </w:tc>
        <w:tc>
          <w:tcPr>
            <w:tcW w:w="2693" w:type="dxa"/>
          </w:tcPr>
          <w:p w:rsidR="00D72414" w:rsidRDefault="00D72414">
            <w:pPr>
              <w:rPr>
                <w:rFonts w:ascii="Arial" w:eastAsia="Arial" w:hAnsi="Arial" w:cs="Arial"/>
              </w:rPr>
            </w:pPr>
          </w:p>
        </w:tc>
        <w:tc>
          <w:tcPr>
            <w:tcW w:w="2977" w:type="dxa"/>
          </w:tcPr>
          <w:p w:rsidR="00D72414" w:rsidRDefault="00D72414">
            <w:pPr>
              <w:rPr>
                <w:rFonts w:ascii="Arial" w:eastAsia="Arial" w:hAnsi="Arial" w:cs="Arial"/>
              </w:rPr>
            </w:pPr>
          </w:p>
        </w:tc>
      </w:tr>
      <w:tr w:rsidR="00D72414">
        <w:tc>
          <w:tcPr>
            <w:tcW w:w="8505" w:type="dxa"/>
          </w:tcPr>
          <w:p w:rsidR="00D72414" w:rsidRDefault="00C0362E">
            <w:pPr>
              <w:rPr>
                <w:rFonts w:ascii="Arial" w:eastAsia="Arial" w:hAnsi="Arial" w:cs="Arial"/>
                <w:b/>
                <w:sz w:val="20"/>
                <w:szCs w:val="20"/>
              </w:rPr>
            </w:pPr>
            <w:r>
              <w:rPr>
                <w:rFonts w:ascii="Arial" w:eastAsia="Arial" w:hAnsi="Arial" w:cs="Arial"/>
                <w:b/>
                <w:sz w:val="20"/>
                <w:szCs w:val="20"/>
              </w:rPr>
              <w:t xml:space="preserve"> </w:t>
            </w:r>
          </w:p>
          <w:p w:rsidR="00D72414" w:rsidRDefault="00C0362E">
            <w:pPr>
              <w:rPr>
                <w:rFonts w:ascii="Arial" w:eastAsia="Arial" w:hAnsi="Arial" w:cs="Arial"/>
                <w:b/>
                <w:sz w:val="20"/>
                <w:szCs w:val="20"/>
              </w:rPr>
            </w:pPr>
            <w:r>
              <w:rPr>
                <w:rFonts w:ascii="Arial" w:eastAsia="Arial" w:hAnsi="Arial" w:cs="Arial"/>
                <w:b/>
                <w:sz w:val="20"/>
                <w:szCs w:val="20"/>
              </w:rPr>
              <w:t xml:space="preserve">Trainee </w:t>
            </w:r>
          </w:p>
          <w:p w:rsidR="00D72414" w:rsidRDefault="00D72414">
            <w:pPr>
              <w:rPr>
                <w:rFonts w:ascii="Arial" w:eastAsia="Arial" w:hAnsi="Arial" w:cs="Arial"/>
                <w:sz w:val="20"/>
                <w:szCs w:val="20"/>
              </w:rPr>
            </w:pPr>
          </w:p>
          <w:p w:rsidR="00D72414" w:rsidRDefault="00C0362E">
            <w:pPr>
              <w:rPr>
                <w:rFonts w:ascii="Arial" w:eastAsia="Arial" w:hAnsi="Arial" w:cs="Arial"/>
                <w:sz w:val="20"/>
                <w:szCs w:val="20"/>
              </w:rPr>
            </w:pPr>
            <w:r>
              <w:rPr>
                <w:rFonts w:ascii="Arial" w:eastAsia="Arial" w:hAnsi="Arial" w:cs="Arial"/>
                <w:sz w:val="20"/>
                <w:szCs w:val="20"/>
              </w:rPr>
              <w:t>Leads on litigation actions and Buyer engagement under the Supervision of a qualified Solicitor).</w:t>
            </w:r>
          </w:p>
          <w:p w:rsidR="00D72414" w:rsidRDefault="00D72414">
            <w:pPr>
              <w:rPr>
                <w:rFonts w:ascii="Arial" w:eastAsia="Arial" w:hAnsi="Arial" w:cs="Arial"/>
                <w:sz w:val="20"/>
                <w:szCs w:val="20"/>
              </w:rPr>
            </w:pPr>
          </w:p>
        </w:tc>
        <w:tc>
          <w:tcPr>
            <w:tcW w:w="2693" w:type="dxa"/>
          </w:tcPr>
          <w:p w:rsidR="00D72414" w:rsidRDefault="00D72414">
            <w:pPr>
              <w:rPr>
                <w:rFonts w:ascii="Arial" w:eastAsia="Arial" w:hAnsi="Arial" w:cs="Arial"/>
              </w:rPr>
            </w:pPr>
          </w:p>
        </w:tc>
        <w:tc>
          <w:tcPr>
            <w:tcW w:w="2977" w:type="dxa"/>
          </w:tcPr>
          <w:p w:rsidR="00D72414" w:rsidRDefault="00D72414">
            <w:pPr>
              <w:rPr>
                <w:rFonts w:ascii="Arial" w:eastAsia="Arial" w:hAnsi="Arial" w:cs="Arial"/>
              </w:rPr>
            </w:pPr>
          </w:p>
        </w:tc>
      </w:tr>
      <w:tr w:rsidR="00D72414">
        <w:trPr>
          <w:trHeight w:val="50"/>
        </w:trPr>
        <w:tc>
          <w:tcPr>
            <w:tcW w:w="8505" w:type="dxa"/>
          </w:tcPr>
          <w:p w:rsidR="00D72414" w:rsidRDefault="00D72414">
            <w:pPr>
              <w:rPr>
                <w:rFonts w:ascii="Arial" w:eastAsia="Arial" w:hAnsi="Arial" w:cs="Arial"/>
                <w:b/>
                <w:sz w:val="20"/>
                <w:szCs w:val="20"/>
              </w:rPr>
            </w:pPr>
          </w:p>
          <w:p w:rsidR="00D72414" w:rsidRDefault="00C0362E">
            <w:pPr>
              <w:rPr>
                <w:rFonts w:ascii="Arial" w:eastAsia="Arial" w:hAnsi="Arial" w:cs="Arial"/>
                <w:b/>
                <w:color w:val="202124"/>
                <w:sz w:val="20"/>
                <w:szCs w:val="20"/>
                <w:highlight w:val="white"/>
              </w:rPr>
            </w:pPr>
            <w:r>
              <w:rPr>
                <w:rFonts w:ascii="Arial" w:eastAsia="Arial" w:hAnsi="Arial" w:cs="Arial"/>
                <w:b/>
                <w:sz w:val="20"/>
                <w:szCs w:val="20"/>
              </w:rPr>
              <w:t xml:space="preserve">Paralegal </w:t>
            </w:r>
            <w:r>
              <w:rPr>
                <w:rFonts w:ascii="Arial" w:eastAsia="Arial" w:hAnsi="Arial" w:cs="Arial"/>
                <w:b/>
                <w:color w:val="202124"/>
                <w:sz w:val="20"/>
                <w:szCs w:val="20"/>
                <w:highlight w:val="white"/>
              </w:rPr>
              <w:t xml:space="preserve"> </w:t>
            </w:r>
          </w:p>
          <w:p w:rsidR="00D72414" w:rsidRDefault="00D72414">
            <w:pPr>
              <w:rPr>
                <w:rFonts w:ascii="Arial" w:eastAsia="Arial" w:hAnsi="Arial" w:cs="Arial"/>
                <w:color w:val="202124"/>
                <w:sz w:val="20"/>
                <w:szCs w:val="20"/>
                <w:highlight w:val="white"/>
              </w:rPr>
            </w:pPr>
          </w:p>
          <w:p w:rsidR="00D72414" w:rsidRDefault="00C0362E">
            <w:pPr>
              <w:rPr>
                <w:rFonts w:ascii="Arial" w:eastAsia="Arial" w:hAnsi="Arial" w:cs="Arial"/>
                <w:color w:val="202124"/>
                <w:sz w:val="20"/>
                <w:szCs w:val="20"/>
                <w:highlight w:val="white"/>
              </w:rPr>
            </w:pPr>
            <w:r>
              <w:rPr>
                <w:rFonts w:ascii="Arial" w:eastAsia="Arial" w:hAnsi="Arial" w:cs="Arial"/>
                <w:color w:val="202124"/>
                <w:sz w:val="20"/>
                <w:szCs w:val="20"/>
                <w:highlight w:val="white"/>
              </w:rPr>
              <w:t>Delivers of a range of litigation tasks and services, such as undertaking legal research, preparing legal documents and giving some legal advice to Buyers, where a qualified Solicitor is not required).</w:t>
            </w:r>
          </w:p>
          <w:p w:rsidR="00D72414" w:rsidRDefault="00D72414">
            <w:pPr>
              <w:rPr>
                <w:rFonts w:ascii="Arial" w:eastAsia="Arial" w:hAnsi="Arial" w:cs="Arial"/>
                <w:sz w:val="20"/>
                <w:szCs w:val="20"/>
              </w:rPr>
            </w:pPr>
          </w:p>
        </w:tc>
        <w:tc>
          <w:tcPr>
            <w:tcW w:w="2693" w:type="dxa"/>
          </w:tcPr>
          <w:p w:rsidR="00D72414" w:rsidRDefault="00D72414">
            <w:pPr>
              <w:rPr>
                <w:rFonts w:ascii="Arial" w:eastAsia="Arial" w:hAnsi="Arial" w:cs="Arial"/>
              </w:rPr>
            </w:pPr>
          </w:p>
        </w:tc>
        <w:tc>
          <w:tcPr>
            <w:tcW w:w="2977" w:type="dxa"/>
          </w:tcPr>
          <w:p w:rsidR="00D72414" w:rsidRDefault="00D72414">
            <w:pPr>
              <w:rPr>
                <w:rFonts w:ascii="Arial" w:eastAsia="Arial" w:hAnsi="Arial" w:cs="Arial"/>
              </w:rPr>
            </w:pPr>
          </w:p>
        </w:tc>
      </w:tr>
    </w:tbl>
    <w:p w:rsidR="00D72414" w:rsidRDefault="00C0362E">
      <w:pPr>
        <w:pBdr>
          <w:top w:val="nil"/>
          <w:left w:val="nil"/>
          <w:bottom w:val="nil"/>
          <w:right w:val="nil"/>
          <w:between w:val="nil"/>
        </w:pBdr>
        <w:spacing w:before="240"/>
        <w:ind w:left="426"/>
        <w:jc w:val="both"/>
        <w:rPr>
          <w:rFonts w:ascii="Arial" w:eastAsia="Arial" w:hAnsi="Arial" w:cs="Arial"/>
          <w:b/>
          <w:i/>
          <w:color w:val="000000"/>
          <w:sz w:val="20"/>
          <w:szCs w:val="20"/>
        </w:rPr>
      </w:pPr>
      <w:r>
        <w:rPr>
          <w:rFonts w:ascii="Arial" w:eastAsia="Arial" w:hAnsi="Arial" w:cs="Arial"/>
          <w:b/>
          <w:i/>
          <w:color w:val="000000"/>
          <w:sz w:val="20"/>
          <w:szCs w:val="20"/>
        </w:rPr>
        <w:t>The Fixed Price activities listed in the Table above have the definitions set out within the CPR where not set out with Framework Contract.</w:t>
      </w:r>
    </w:p>
    <w:p w:rsidR="00D72414" w:rsidRDefault="00D72414">
      <w:pPr>
        <w:pBdr>
          <w:top w:val="nil"/>
          <w:left w:val="nil"/>
          <w:bottom w:val="nil"/>
          <w:right w:val="nil"/>
          <w:between w:val="nil"/>
        </w:pBdr>
        <w:spacing w:before="240"/>
        <w:jc w:val="both"/>
        <w:rPr>
          <w:rFonts w:ascii="Arial" w:eastAsia="Arial" w:hAnsi="Arial" w:cs="Arial"/>
          <w:b/>
          <w:i/>
          <w:color w:val="000000"/>
          <w:sz w:val="20"/>
          <w:szCs w:val="20"/>
        </w:rPr>
      </w:pPr>
    </w:p>
    <w:p w:rsidR="00D72414" w:rsidRDefault="00C0362E">
      <w:pPr>
        <w:numPr>
          <w:ilvl w:val="0"/>
          <w:numId w:val="6"/>
        </w:num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b/>
          <w:color w:val="000000"/>
          <w:sz w:val="20"/>
          <w:szCs w:val="20"/>
        </w:rPr>
        <w:t>Part H: Litigation Scotland URN 7.0</w:t>
      </w:r>
    </w:p>
    <w:p w:rsidR="00D72414" w:rsidRDefault="00C0362E">
      <w:pPr>
        <w:pBdr>
          <w:top w:val="nil"/>
          <w:left w:val="nil"/>
          <w:bottom w:val="nil"/>
          <w:right w:val="nil"/>
          <w:between w:val="nil"/>
        </w:pBdr>
        <w:ind w:left="360"/>
        <w:jc w:val="both"/>
        <w:rPr>
          <w:rFonts w:ascii="Arial" w:eastAsia="Arial" w:hAnsi="Arial" w:cs="Arial"/>
          <w:b/>
          <w:color w:val="000000"/>
          <w:sz w:val="20"/>
          <w:szCs w:val="20"/>
        </w:rPr>
      </w:pPr>
      <w:r>
        <w:rPr>
          <w:rFonts w:ascii="Arial" w:eastAsia="Arial" w:hAnsi="Arial" w:cs="Arial"/>
          <w:b/>
          <w:color w:val="000000"/>
          <w:sz w:val="20"/>
          <w:szCs w:val="20"/>
        </w:rPr>
        <w:t xml:space="preserve"> </w:t>
      </w:r>
    </w:p>
    <w:p w:rsidR="00D72414" w:rsidRDefault="00C0362E">
      <w:pPr>
        <w:numPr>
          <w:ilvl w:val="1"/>
          <w:numId w:val="4"/>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Charges for this Service exclude any fees set within the Sheriff and Court of Session Rules. </w:t>
      </w:r>
    </w:p>
    <w:p w:rsidR="00D72414" w:rsidRDefault="00C0362E">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rsidR="00D72414" w:rsidRDefault="00C0362E">
      <w:pPr>
        <w:numPr>
          <w:ilvl w:val="2"/>
          <w:numId w:val="4"/>
        </w:numPr>
        <w:pBdr>
          <w:top w:val="nil"/>
          <w:left w:val="nil"/>
          <w:bottom w:val="nil"/>
          <w:right w:val="nil"/>
          <w:between w:val="nil"/>
        </w:pBdr>
        <w:ind w:left="1134"/>
        <w:jc w:val="both"/>
        <w:rPr>
          <w:rFonts w:ascii="Arial" w:eastAsia="Arial" w:hAnsi="Arial" w:cs="Arial"/>
          <w:color w:val="000000"/>
          <w:sz w:val="20"/>
          <w:szCs w:val="20"/>
        </w:rPr>
      </w:pPr>
      <w:r>
        <w:rPr>
          <w:rFonts w:ascii="Arial" w:eastAsia="Arial" w:hAnsi="Arial" w:cs="Arial"/>
          <w:color w:val="000000"/>
          <w:sz w:val="20"/>
          <w:szCs w:val="20"/>
        </w:rPr>
        <w:t>The Charges for this Services are calculated as either (a) Fixed Price activities, or (b) as Disbursements as set out in Table 1 below</w:t>
      </w:r>
    </w:p>
    <w:p w:rsidR="00D72414" w:rsidRDefault="00D72414">
      <w:pPr>
        <w:pBdr>
          <w:top w:val="nil"/>
          <w:left w:val="nil"/>
          <w:bottom w:val="nil"/>
          <w:right w:val="nil"/>
          <w:between w:val="nil"/>
        </w:pBdr>
        <w:ind w:left="1134"/>
        <w:jc w:val="both"/>
        <w:rPr>
          <w:rFonts w:ascii="Arial" w:eastAsia="Arial" w:hAnsi="Arial" w:cs="Arial"/>
          <w:color w:val="000000"/>
          <w:sz w:val="20"/>
          <w:szCs w:val="20"/>
        </w:rPr>
      </w:pPr>
    </w:p>
    <w:p w:rsidR="00D72414" w:rsidRDefault="00C0362E">
      <w:pPr>
        <w:numPr>
          <w:ilvl w:val="2"/>
          <w:numId w:val="4"/>
        </w:numPr>
        <w:pBdr>
          <w:top w:val="nil"/>
          <w:left w:val="nil"/>
          <w:bottom w:val="nil"/>
          <w:right w:val="nil"/>
          <w:between w:val="nil"/>
        </w:pBdr>
        <w:ind w:left="1134"/>
        <w:jc w:val="both"/>
        <w:rPr>
          <w:rFonts w:ascii="Arial" w:eastAsia="Arial" w:hAnsi="Arial" w:cs="Arial"/>
          <w:color w:val="000000"/>
          <w:sz w:val="20"/>
          <w:szCs w:val="20"/>
        </w:rPr>
      </w:pPr>
      <w:r>
        <w:rPr>
          <w:rFonts w:ascii="Arial" w:eastAsia="Arial" w:hAnsi="Arial" w:cs="Arial"/>
          <w:color w:val="000000"/>
          <w:sz w:val="20"/>
          <w:szCs w:val="20"/>
        </w:rPr>
        <w:t>Fixed Price activities are calculated on an activity unit cost basis as per Table 1 below.</w:t>
      </w:r>
    </w:p>
    <w:p w:rsidR="00D72414" w:rsidRDefault="00C0362E">
      <w:pPr>
        <w:pBdr>
          <w:top w:val="nil"/>
          <w:left w:val="nil"/>
          <w:bottom w:val="nil"/>
          <w:right w:val="nil"/>
          <w:between w:val="nil"/>
        </w:pBdr>
        <w:ind w:left="1134"/>
        <w:jc w:val="both"/>
        <w:rPr>
          <w:rFonts w:ascii="Arial" w:eastAsia="Arial" w:hAnsi="Arial" w:cs="Arial"/>
          <w:color w:val="000000"/>
          <w:sz w:val="20"/>
          <w:szCs w:val="20"/>
        </w:rPr>
      </w:pPr>
      <w:r>
        <w:rPr>
          <w:rFonts w:ascii="Arial" w:eastAsia="Arial" w:hAnsi="Arial" w:cs="Arial"/>
          <w:color w:val="000000"/>
          <w:sz w:val="20"/>
          <w:szCs w:val="20"/>
        </w:rPr>
        <w:t xml:space="preserve"> </w:t>
      </w:r>
    </w:p>
    <w:p w:rsidR="00D72414" w:rsidRDefault="00C0362E">
      <w:pPr>
        <w:numPr>
          <w:ilvl w:val="2"/>
          <w:numId w:val="4"/>
        </w:numPr>
        <w:pBdr>
          <w:top w:val="nil"/>
          <w:left w:val="nil"/>
          <w:bottom w:val="nil"/>
          <w:right w:val="nil"/>
          <w:between w:val="nil"/>
        </w:pBdr>
        <w:ind w:left="1134"/>
        <w:jc w:val="both"/>
        <w:rPr>
          <w:rFonts w:ascii="Arial" w:eastAsia="Arial" w:hAnsi="Arial" w:cs="Arial"/>
          <w:color w:val="000000"/>
          <w:sz w:val="20"/>
          <w:szCs w:val="20"/>
        </w:rPr>
      </w:pPr>
      <w:r>
        <w:rPr>
          <w:rFonts w:ascii="Arial" w:eastAsia="Arial" w:hAnsi="Arial" w:cs="Arial"/>
          <w:color w:val="000000"/>
          <w:sz w:val="20"/>
          <w:szCs w:val="20"/>
        </w:rPr>
        <w:t xml:space="preserve">Disbursements are calculated on a Rate Card basis as set out in Table 2 below. Prior to commencing any Litigation activity, the Supplier will provide (a) a CPR and Disbursements Costs Proposal where the Charges are known, or (b) an indicative CPR and Disbursements Costs Proposal where the Charges can only be forecast, to the Buyer for Approval. </w:t>
      </w:r>
    </w:p>
    <w:p w:rsidR="00D72414" w:rsidRDefault="00D72414">
      <w:pPr>
        <w:pBdr>
          <w:top w:val="nil"/>
          <w:left w:val="nil"/>
          <w:bottom w:val="nil"/>
          <w:right w:val="nil"/>
          <w:between w:val="nil"/>
        </w:pBdr>
        <w:ind w:left="720"/>
        <w:jc w:val="both"/>
        <w:rPr>
          <w:rFonts w:ascii="Arial" w:eastAsia="Arial" w:hAnsi="Arial" w:cs="Arial"/>
          <w:color w:val="000000"/>
          <w:sz w:val="20"/>
          <w:szCs w:val="20"/>
        </w:rPr>
      </w:pPr>
    </w:p>
    <w:p w:rsidR="00D72414" w:rsidRDefault="00C0362E">
      <w:pPr>
        <w:pBdr>
          <w:top w:val="nil"/>
          <w:left w:val="nil"/>
          <w:bottom w:val="nil"/>
          <w:right w:val="nil"/>
          <w:between w:val="nil"/>
        </w:pBdr>
        <w:ind w:left="720"/>
        <w:jc w:val="both"/>
        <w:rPr>
          <w:rFonts w:ascii="Arial" w:eastAsia="Arial" w:hAnsi="Arial" w:cs="Arial"/>
          <w:b/>
          <w:color w:val="000000"/>
          <w:sz w:val="20"/>
          <w:szCs w:val="20"/>
        </w:rPr>
      </w:pPr>
      <w:r>
        <w:rPr>
          <w:rFonts w:ascii="Arial" w:eastAsia="Arial" w:hAnsi="Arial" w:cs="Arial"/>
          <w:b/>
          <w:color w:val="000000"/>
          <w:sz w:val="20"/>
          <w:szCs w:val="20"/>
        </w:rPr>
        <w:t>Table 1 and 2</w:t>
      </w:r>
    </w:p>
    <w:p w:rsidR="00D72414" w:rsidRDefault="00C0362E">
      <w:pPr>
        <w:pBdr>
          <w:top w:val="nil"/>
          <w:left w:val="nil"/>
          <w:bottom w:val="nil"/>
          <w:right w:val="nil"/>
          <w:between w:val="nil"/>
        </w:pBdr>
        <w:ind w:left="720"/>
        <w:jc w:val="both"/>
        <w:rPr>
          <w:rFonts w:ascii="Arial" w:eastAsia="Arial" w:hAnsi="Arial" w:cs="Arial"/>
          <w:color w:val="000000"/>
          <w:sz w:val="20"/>
          <w:szCs w:val="20"/>
        </w:rPr>
      </w:pPr>
      <w:r>
        <w:rPr>
          <w:rFonts w:ascii="Arial" w:eastAsia="Arial" w:hAnsi="Arial" w:cs="Arial"/>
          <w:color w:val="000000"/>
          <w:sz w:val="20"/>
          <w:szCs w:val="20"/>
        </w:rPr>
        <w:t xml:space="preserve"> </w:t>
      </w:r>
    </w:p>
    <w:tbl>
      <w:tblPr>
        <w:tblStyle w:val="affffa"/>
        <w:tblW w:w="13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60"/>
        <w:gridCol w:w="3118"/>
      </w:tblGrid>
      <w:tr w:rsidR="00D72414">
        <w:tc>
          <w:tcPr>
            <w:tcW w:w="10060" w:type="dxa"/>
            <w:tcBorders>
              <w:top w:val="single" w:sz="4" w:space="0" w:color="000000"/>
              <w:left w:val="single" w:sz="4" w:space="0" w:color="000000"/>
              <w:bottom w:val="single" w:sz="4" w:space="0" w:color="000000"/>
              <w:right w:val="single" w:sz="4" w:space="0" w:color="000000"/>
            </w:tcBorders>
            <w:shd w:val="clear" w:color="auto" w:fill="BFBFBF"/>
          </w:tcPr>
          <w:p w:rsidR="00D72414" w:rsidRDefault="00C0362E">
            <w:pPr>
              <w:rPr>
                <w:rFonts w:ascii="Arial" w:eastAsia="Arial" w:hAnsi="Arial" w:cs="Arial"/>
                <w:b/>
                <w:sz w:val="20"/>
                <w:szCs w:val="20"/>
              </w:rPr>
            </w:pPr>
            <w:r>
              <w:rPr>
                <w:rFonts w:ascii="Arial" w:eastAsia="Arial" w:hAnsi="Arial" w:cs="Arial"/>
                <w:b/>
                <w:sz w:val="20"/>
                <w:szCs w:val="20"/>
              </w:rPr>
              <w:t>Table 1 URN 7.0 Activity</w:t>
            </w:r>
          </w:p>
        </w:tc>
        <w:tc>
          <w:tcPr>
            <w:tcW w:w="3118" w:type="dxa"/>
            <w:tcBorders>
              <w:top w:val="single" w:sz="4" w:space="0" w:color="000000"/>
              <w:left w:val="single" w:sz="4" w:space="0" w:color="000000"/>
              <w:bottom w:val="single" w:sz="4" w:space="0" w:color="000000"/>
              <w:right w:val="single" w:sz="4" w:space="0" w:color="000000"/>
            </w:tcBorders>
            <w:shd w:val="clear" w:color="auto" w:fill="BFBFBF"/>
          </w:tcPr>
          <w:p w:rsidR="00D72414" w:rsidRDefault="00C0362E">
            <w:pPr>
              <w:rPr>
                <w:rFonts w:ascii="Arial" w:eastAsia="Arial" w:hAnsi="Arial" w:cs="Arial"/>
                <w:b/>
                <w:sz w:val="20"/>
                <w:szCs w:val="20"/>
              </w:rPr>
            </w:pPr>
            <w:r>
              <w:rPr>
                <w:rFonts w:ascii="Arial" w:eastAsia="Arial" w:hAnsi="Arial" w:cs="Arial"/>
                <w:b/>
                <w:sz w:val="20"/>
                <w:szCs w:val="20"/>
              </w:rPr>
              <w:t>Fixed Price (excluding VAT)</w:t>
            </w:r>
          </w:p>
        </w:tc>
      </w:tr>
      <w:tr w:rsidR="00D72414">
        <w:tc>
          <w:tcPr>
            <w:tcW w:w="10060" w:type="dxa"/>
            <w:tcBorders>
              <w:top w:val="single" w:sz="4" w:space="0" w:color="000000"/>
              <w:left w:val="single" w:sz="4" w:space="0" w:color="000000"/>
              <w:bottom w:val="single" w:sz="4" w:space="0" w:color="000000"/>
              <w:right w:val="single" w:sz="4" w:space="0" w:color="000000"/>
            </w:tcBorders>
          </w:tcPr>
          <w:p w:rsidR="00D72414" w:rsidRDefault="00C0362E">
            <w:pPr>
              <w:rPr>
                <w:rFonts w:ascii="Arial" w:eastAsia="Arial" w:hAnsi="Arial" w:cs="Arial"/>
                <w:b/>
                <w:sz w:val="20"/>
                <w:szCs w:val="20"/>
              </w:rPr>
            </w:pPr>
            <w:r>
              <w:rPr>
                <w:rFonts w:ascii="Arial" w:eastAsia="Arial" w:hAnsi="Arial" w:cs="Arial"/>
                <w:b/>
                <w:sz w:val="20"/>
                <w:szCs w:val="20"/>
              </w:rPr>
              <w:t>Section 1 of Fixed Price</w:t>
            </w:r>
          </w:p>
        </w:tc>
        <w:tc>
          <w:tcPr>
            <w:tcW w:w="3118" w:type="dxa"/>
            <w:tcBorders>
              <w:top w:val="single" w:sz="4" w:space="0" w:color="000000"/>
              <w:left w:val="single" w:sz="4" w:space="0" w:color="000000"/>
              <w:bottom w:val="single" w:sz="4" w:space="0" w:color="000000"/>
              <w:right w:val="single" w:sz="4" w:space="0" w:color="000000"/>
            </w:tcBorders>
          </w:tcPr>
          <w:p w:rsidR="00D72414" w:rsidRDefault="00D72414">
            <w:pPr>
              <w:rPr>
                <w:rFonts w:ascii="Arial" w:eastAsia="Arial" w:hAnsi="Arial" w:cs="Arial"/>
                <w:sz w:val="20"/>
                <w:szCs w:val="20"/>
              </w:rPr>
            </w:pPr>
          </w:p>
        </w:tc>
      </w:tr>
      <w:tr w:rsidR="00D72414">
        <w:tc>
          <w:tcPr>
            <w:tcW w:w="10060" w:type="dxa"/>
            <w:tcBorders>
              <w:top w:val="single" w:sz="4" w:space="0" w:color="000000"/>
              <w:left w:val="single" w:sz="4" w:space="0" w:color="000000"/>
              <w:bottom w:val="single" w:sz="4" w:space="0" w:color="000000"/>
              <w:right w:val="single" w:sz="4" w:space="0" w:color="000000"/>
            </w:tcBorders>
          </w:tcPr>
          <w:p w:rsidR="00D72414" w:rsidRDefault="00C0362E">
            <w:pPr>
              <w:rPr>
                <w:rFonts w:ascii="Arial" w:eastAsia="Arial" w:hAnsi="Arial" w:cs="Arial"/>
                <w:sz w:val="20"/>
                <w:szCs w:val="20"/>
              </w:rPr>
            </w:pPr>
            <w:r>
              <w:rPr>
                <w:rFonts w:ascii="Arial" w:eastAsia="Arial" w:hAnsi="Arial" w:cs="Arial"/>
                <w:sz w:val="20"/>
                <w:szCs w:val="20"/>
              </w:rPr>
              <w:t>7.0a Checking Form 1 summary application for liability order, arranging warranting and service, and minuting for decree in undefended actions.</w:t>
            </w:r>
          </w:p>
        </w:tc>
        <w:tc>
          <w:tcPr>
            <w:tcW w:w="3118" w:type="dxa"/>
            <w:tcBorders>
              <w:top w:val="single" w:sz="4" w:space="0" w:color="000000"/>
              <w:left w:val="single" w:sz="4" w:space="0" w:color="000000"/>
              <w:bottom w:val="single" w:sz="4" w:space="0" w:color="000000"/>
              <w:right w:val="single" w:sz="4" w:space="0" w:color="000000"/>
            </w:tcBorders>
          </w:tcPr>
          <w:p w:rsidR="00D72414" w:rsidRDefault="00D72414">
            <w:pPr>
              <w:rPr>
                <w:rFonts w:ascii="Arial" w:eastAsia="Arial" w:hAnsi="Arial" w:cs="Arial"/>
                <w:sz w:val="20"/>
                <w:szCs w:val="20"/>
              </w:rPr>
            </w:pPr>
          </w:p>
        </w:tc>
      </w:tr>
      <w:tr w:rsidR="00D72414">
        <w:tc>
          <w:tcPr>
            <w:tcW w:w="10060" w:type="dxa"/>
            <w:tcBorders>
              <w:top w:val="single" w:sz="4" w:space="0" w:color="000000"/>
              <w:left w:val="single" w:sz="4" w:space="0" w:color="000000"/>
              <w:bottom w:val="single" w:sz="4" w:space="0" w:color="000000"/>
              <w:right w:val="single" w:sz="4" w:space="0" w:color="000000"/>
            </w:tcBorders>
          </w:tcPr>
          <w:p w:rsidR="00D72414" w:rsidRDefault="00D72414">
            <w:pPr>
              <w:rPr>
                <w:rFonts w:ascii="Arial" w:eastAsia="Arial" w:hAnsi="Arial" w:cs="Arial"/>
                <w:sz w:val="20"/>
                <w:szCs w:val="20"/>
              </w:rPr>
            </w:pPr>
          </w:p>
        </w:tc>
        <w:tc>
          <w:tcPr>
            <w:tcW w:w="3118" w:type="dxa"/>
            <w:tcBorders>
              <w:top w:val="single" w:sz="4" w:space="0" w:color="000000"/>
              <w:left w:val="single" w:sz="4" w:space="0" w:color="000000"/>
              <w:bottom w:val="single" w:sz="4" w:space="0" w:color="000000"/>
              <w:right w:val="single" w:sz="4" w:space="0" w:color="000000"/>
            </w:tcBorders>
          </w:tcPr>
          <w:p w:rsidR="00D72414" w:rsidRDefault="00D72414">
            <w:pPr>
              <w:rPr>
                <w:rFonts w:ascii="Arial" w:eastAsia="Arial" w:hAnsi="Arial" w:cs="Arial"/>
                <w:sz w:val="20"/>
                <w:szCs w:val="20"/>
              </w:rPr>
            </w:pPr>
          </w:p>
        </w:tc>
      </w:tr>
      <w:tr w:rsidR="00D72414">
        <w:tc>
          <w:tcPr>
            <w:tcW w:w="10060" w:type="dxa"/>
            <w:tcBorders>
              <w:top w:val="single" w:sz="4" w:space="0" w:color="000000"/>
              <w:left w:val="single" w:sz="4" w:space="0" w:color="000000"/>
              <w:bottom w:val="dotted" w:sz="4" w:space="0" w:color="000000"/>
              <w:right w:val="single" w:sz="4" w:space="0" w:color="000000"/>
            </w:tcBorders>
          </w:tcPr>
          <w:p w:rsidR="00D72414" w:rsidRDefault="00C0362E">
            <w:pPr>
              <w:rPr>
                <w:rFonts w:ascii="Arial" w:eastAsia="Arial" w:hAnsi="Arial" w:cs="Arial"/>
                <w:b/>
                <w:sz w:val="20"/>
                <w:szCs w:val="20"/>
              </w:rPr>
            </w:pPr>
            <w:r>
              <w:rPr>
                <w:rFonts w:ascii="Arial" w:eastAsia="Arial" w:hAnsi="Arial" w:cs="Arial"/>
                <w:b/>
                <w:sz w:val="20"/>
                <w:szCs w:val="20"/>
              </w:rPr>
              <w:t>Section 2 of Fixed Price</w:t>
            </w:r>
          </w:p>
        </w:tc>
        <w:tc>
          <w:tcPr>
            <w:tcW w:w="3118" w:type="dxa"/>
            <w:tcBorders>
              <w:top w:val="single" w:sz="4" w:space="0" w:color="000000"/>
              <w:left w:val="single" w:sz="4" w:space="0" w:color="000000"/>
              <w:bottom w:val="dotted" w:sz="4" w:space="0" w:color="000000"/>
              <w:right w:val="single" w:sz="4" w:space="0" w:color="000000"/>
            </w:tcBorders>
          </w:tcPr>
          <w:p w:rsidR="00D72414" w:rsidRDefault="00D72414">
            <w:pPr>
              <w:rPr>
                <w:rFonts w:ascii="Arial" w:eastAsia="Arial" w:hAnsi="Arial" w:cs="Arial"/>
                <w:sz w:val="20"/>
                <w:szCs w:val="20"/>
              </w:rPr>
            </w:pPr>
          </w:p>
        </w:tc>
      </w:tr>
      <w:tr w:rsidR="00D72414">
        <w:tc>
          <w:tcPr>
            <w:tcW w:w="10060" w:type="dxa"/>
            <w:tcBorders>
              <w:top w:val="dotted" w:sz="4" w:space="0" w:color="000000"/>
              <w:left w:val="single" w:sz="4" w:space="0" w:color="000000"/>
              <w:bottom w:val="dotted" w:sz="4" w:space="0" w:color="000000"/>
              <w:right w:val="single" w:sz="4" w:space="0" w:color="000000"/>
            </w:tcBorders>
          </w:tcPr>
          <w:p w:rsidR="00D72414" w:rsidRDefault="00C0362E">
            <w:pPr>
              <w:rPr>
                <w:rFonts w:ascii="Arial" w:eastAsia="Arial" w:hAnsi="Arial" w:cs="Arial"/>
                <w:sz w:val="20"/>
                <w:szCs w:val="20"/>
              </w:rPr>
            </w:pPr>
            <w:r>
              <w:rPr>
                <w:rFonts w:ascii="Arial" w:eastAsia="Arial" w:hAnsi="Arial" w:cs="Arial"/>
                <w:sz w:val="20"/>
                <w:szCs w:val="20"/>
              </w:rPr>
              <w:t>7.0b Instruction of Sheriff Officers for initial enforcement action up to and including service of a charge.</w:t>
            </w:r>
          </w:p>
        </w:tc>
        <w:tc>
          <w:tcPr>
            <w:tcW w:w="3118" w:type="dxa"/>
            <w:tcBorders>
              <w:top w:val="dotted" w:sz="4" w:space="0" w:color="000000"/>
              <w:left w:val="single" w:sz="4" w:space="0" w:color="000000"/>
              <w:bottom w:val="dotted" w:sz="4" w:space="0" w:color="000000"/>
              <w:right w:val="single" w:sz="4" w:space="0" w:color="000000"/>
            </w:tcBorders>
          </w:tcPr>
          <w:p w:rsidR="00D72414" w:rsidRDefault="00D72414">
            <w:pPr>
              <w:rPr>
                <w:rFonts w:ascii="Arial" w:eastAsia="Arial" w:hAnsi="Arial" w:cs="Arial"/>
                <w:sz w:val="20"/>
                <w:szCs w:val="20"/>
              </w:rPr>
            </w:pPr>
          </w:p>
        </w:tc>
      </w:tr>
      <w:tr w:rsidR="00D72414">
        <w:tc>
          <w:tcPr>
            <w:tcW w:w="10060" w:type="dxa"/>
            <w:tcBorders>
              <w:top w:val="dotted" w:sz="4" w:space="0" w:color="000000"/>
              <w:left w:val="single" w:sz="4" w:space="0" w:color="000000"/>
              <w:bottom w:val="dotted" w:sz="4" w:space="0" w:color="000000"/>
              <w:right w:val="single" w:sz="4" w:space="0" w:color="000000"/>
            </w:tcBorders>
            <w:shd w:val="clear" w:color="auto" w:fill="BFBFBF"/>
          </w:tcPr>
          <w:p w:rsidR="00D72414" w:rsidRDefault="00D72414">
            <w:pPr>
              <w:rPr>
                <w:rFonts w:ascii="Arial" w:eastAsia="Arial" w:hAnsi="Arial" w:cs="Arial"/>
                <w:b/>
                <w:sz w:val="20"/>
                <w:szCs w:val="20"/>
              </w:rPr>
            </w:pPr>
          </w:p>
          <w:p w:rsidR="00D72414" w:rsidRDefault="00C0362E">
            <w:pPr>
              <w:rPr>
                <w:rFonts w:ascii="Arial" w:eastAsia="Arial" w:hAnsi="Arial" w:cs="Arial"/>
                <w:b/>
                <w:sz w:val="20"/>
                <w:szCs w:val="20"/>
              </w:rPr>
            </w:pPr>
            <w:r>
              <w:rPr>
                <w:rFonts w:ascii="Arial" w:eastAsia="Arial" w:hAnsi="Arial" w:cs="Arial"/>
                <w:b/>
                <w:sz w:val="20"/>
                <w:szCs w:val="20"/>
              </w:rPr>
              <w:t>Table 2 Disbursements</w:t>
            </w:r>
          </w:p>
        </w:tc>
        <w:tc>
          <w:tcPr>
            <w:tcW w:w="3118" w:type="dxa"/>
            <w:tcBorders>
              <w:top w:val="dotted" w:sz="4" w:space="0" w:color="000000"/>
              <w:left w:val="single" w:sz="4" w:space="0" w:color="000000"/>
              <w:bottom w:val="dotted" w:sz="4" w:space="0" w:color="000000"/>
              <w:right w:val="single" w:sz="4" w:space="0" w:color="000000"/>
            </w:tcBorders>
            <w:shd w:val="clear" w:color="auto" w:fill="BFBFBF"/>
          </w:tcPr>
          <w:p w:rsidR="00D72414" w:rsidRDefault="00C0362E">
            <w:pPr>
              <w:rPr>
                <w:rFonts w:ascii="Arial" w:eastAsia="Arial" w:hAnsi="Arial" w:cs="Arial"/>
                <w:b/>
                <w:sz w:val="20"/>
                <w:szCs w:val="20"/>
              </w:rPr>
            </w:pPr>
            <w:r>
              <w:rPr>
                <w:rFonts w:ascii="Arial" w:eastAsia="Arial" w:hAnsi="Arial" w:cs="Arial"/>
                <w:b/>
                <w:sz w:val="20"/>
                <w:szCs w:val="20"/>
              </w:rPr>
              <w:t>Price ½ Hourly Rates (to the nearest £1)</w:t>
            </w:r>
          </w:p>
        </w:tc>
      </w:tr>
      <w:tr w:rsidR="00D72414">
        <w:tc>
          <w:tcPr>
            <w:tcW w:w="10060" w:type="dxa"/>
            <w:tcBorders>
              <w:top w:val="dotted" w:sz="4" w:space="0" w:color="000000"/>
              <w:left w:val="single" w:sz="4" w:space="0" w:color="000000"/>
              <w:bottom w:val="dotted" w:sz="4" w:space="0" w:color="000000"/>
              <w:right w:val="single" w:sz="4" w:space="0" w:color="000000"/>
            </w:tcBorders>
          </w:tcPr>
          <w:p w:rsidR="00D72414" w:rsidRDefault="00C0362E">
            <w:pPr>
              <w:rPr>
                <w:rFonts w:ascii="Arial" w:eastAsia="Arial" w:hAnsi="Arial" w:cs="Arial"/>
                <w:b/>
                <w:sz w:val="20"/>
                <w:szCs w:val="20"/>
              </w:rPr>
            </w:pPr>
            <w:r>
              <w:rPr>
                <w:rFonts w:ascii="Arial" w:eastAsia="Arial" w:hAnsi="Arial" w:cs="Arial"/>
                <w:b/>
                <w:sz w:val="20"/>
                <w:szCs w:val="20"/>
              </w:rPr>
              <w:t>7.0c Rate Card</w:t>
            </w:r>
          </w:p>
        </w:tc>
        <w:tc>
          <w:tcPr>
            <w:tcW w:w="3118" w:type="dxa"/>
            <w:tcBorders>
              <w:top w:val="dotted" w:sz="4" w:space="0" w:color="000000"/>
              <w:left w:val="single" w:sz="4" w:space="0" w:color="000000"/>
              <w:bottom w:val="dotted" w:sz="4" w:space="0" w:color="000000"/>
              <w:right w:val="single" w:sz="4" w:space="0" w:color="000000"/>
            </w:tcBorders>
          </w:tcPr>
          <w:p w:rsidR="00D72414" w:rsidRDefault="00D72414">
            <w:pPr>
              <w:rPr>
                <w:rFonts w:ascii="Arial" w:eastAsia="Arial" w:hAnsi="Arial" w:cs="Arial"/>
                <w:sz w:val="20"/>
                <w:szCs w:val="20"/>
              </w:rPr>
            </w:pPr>
          </w:p>
        </w:tc>
      </w:tr>
      <w:tr w:rsidR="00D72414">
        <w:tc>
          <w:tcPr>
            <w:tcW w:w="10060" w:type="dxa"/>
            <w:tcBorders>
              <w:top w:val="dotted" w:sz="4" w:space="0" w:color="000000"/>
              <w:left w:val="single" w:sz="4" w:space="0" w:color="000000"/>
              <w:bottom w:val="dotted" w:sz="4" w:space="0" w:color="000000"/>
              <w:right w:val="single" w:sz="4" w:space="0" w:color="000000"/>
            </w:tcBorders>
          </w:tcPr>
          <w:p w:rsidR="00D72414" w:rsidRDefault="00C0362E">
            <w:pPr>
              <w:rPr>
                <w:rFonts w:ascii="Arial" w:eastAsia="Arial" w:hAnsi="Arial" w:cs="Arial"/>
                <w:b/>
                <w:sz w:val="20"/>
                <w:szCs w:val="20"/>
              </w:rPr>
            </w:pPr>
            <w:r>
              <w:rPr>
                <w:rFonts w:ascii="Arial" w:eastAsia="Arial" w:hAnsi="Arial" w:cs="Arial"/>
                <w:b/>
                <w:sz w:val="20"/>
                <w:szCs w:val="20"/>
              </w:rPr>
              <w:t xml:space="preserve">Partner </w:t>
            </w:r>
          </w:p>
          <w:p w:rsidR="00D72414" w:rsidRDefault="00D72414">
            <w:pPr>
              <w:rPr>
                <w:rFonts w:ascii="Arial" w:eastAsia="Arial" w:hAnsi="Arial" w:cs="Arial"/>
                <w:sz w:val="20"/>
                <w:szCs w:val="20"/>
              </w:rPr>
            </w:pPr>
          </w:p>
          <w:p w:rsidR="00D72414" w:rsidRDefault="00C0362E">
            <w:pPr>
              <w:rPr>
                <w:rFonts w:ascii="Arial" w:eastAsia="Arial" w:hAnsi="Arial" w:cs="Arial"/>
                <w:color w:val="222222"/>
                <w:sz w:val="20"/>
                <w:szCs w:val="20"/>
              </w:rPr>
            </w:pPr>
            <w:r>
              <w:rPr>
                <w:rFonts w:ascii="Arial" w:eastAsia="Arial" w:hAnsi="Arial" w:cs="Arial"/>
                <w:color w:val="222222"/>
                <w:sz w:val="20"/>
                <w:szCs w:val="20"/>
              </w:rPr>
              <w:t>Typically expected to have 10-20 years’ experience.</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Main point of contact for day-to-day Buyer liaison (for more complex/significant and non-routine matters</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Considered expert in the relevant field.</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Key Senior point of contact with the Buyer. </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Overall responsibility for quality assurance, success of project and supervision of Supplier Staff.</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Overall responsibility for working within budgets agreed as part of a Call-Off Contract. </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Appropriate direct contribution to complex/important legal matters relating to a Buyer’s Call-Off Contract.</w:t>
            </w:r>
          </w:p>
          <w:p w:rsidR="00D72414" w:rsidRDefault="00D72414">
            <w:pPr>
              <w:rPr>
                <w:rFonts w:ascii="Arial" w:eastAsia="Arial" w:hAnsi="Arial" w:cs="Arial"/>
                <w:sz w:val="20"/>
                <w:szCs w:val="20"/>
              </w:rPr>
            </w:pPr>
          </w:p>
        </w:tc>
        <w:tc>
          <w:tcPr>
            <w:tcW w:w="3118" w:type="dxa"/>
            <w:tcBorders>
              <w:top w:val="dotted" w:sz="4" w:space="0" w:color="000000"/>
              <w:left w:val="single" w:sz="4" w:space="0" w:color="000000"/>
              <w:bottom w:val="dotted" w:sz="4" w:space="0" w:color="000000"/>
              <w:right w:val="single" w:sz="4" w:space="0" w:color="000000"/>
            </w:tcBorders>
          </w:tcPr>
          <w:p w:rsidR="00D72414" w:rsidRDefault="00D72414">
            <w:pPr>
              <w:rPr>
                <w:rFonts w:ascii="Arial" w:eastAsia="Arial" w:hAnsi="Arial" w:cs="Arial"/>
                <w:sz w:val="20"/>
                <w:szCs w:val="20"/>
              </w:rPr>
            </w:pPr>
          </w:p>
        </w:tc>
      </w:tr>
      <w:tr w:rsidR="00D72414">
        <w:tc>
          <w:tcPr>
            <w:tcW w:w="10060" w:type="dxa"/>
            <w:tcBorders>
              <w:top w:val="dotted" w:sz="4" w:space="0" w:color="000000"/>
              <w:left w:val="single" w:sz="4" w:space="0" w:color="000000"/>
              <w:bottom w:val="dotted" w:sz="4" w:space="0" w:color="000000"/>
              <w:right w:val="single" w:sz="4" w:space="0" w:color="000000"/>
            </w:tcBorders>
          </w:tcPr>
          <w:p w:rsidR="00D72414" w:rsidRDefault="00C0362E">
            <w:pPr>
              <w:rPr>
                <w:rFonts w:ascii="Arial" w:eastAsia="Arial" w:hAnsi="Arial" w:cs="Arial"/>
                <w:b/>
                <w:sz w:val="20"/>
                <w:szCs w:val="20"/>
              </w:rPr>
            </w:pPr>
            <w:r>
              <w:rPr>
                <w:rFonts w:ascii="Arial" w:eastAsia="Arial" w:hAnsi="Arial" w:cs="Arial"/>
                <w:b/>
                <w:sz w:val="20"/>
                <w:szCs w:val="20"/>
              </w:rPr>
              <w:t>Associate</w:t>
            </w:r>
          </w:p>
          <w:p w:rsidR="00D72414" w:rsidRDefault="00D72414">
            <w:pPr>
              <w:rPr>
                <w:rFonts w:ascii="Arial" w:eastAsia="Arial" w:hAnsi="Arial" w:cs="Arial"/>
                <w:color w:val="222222"/>
                <w:sz w:val="20"/>
                <w:szCs w:val="20"/>
              </w:rPr>
            </w:pPr>
          </w:p>
          <w:p w:rsidR="00D72414" w:rsidRDefault="00C0362E">
            <w:pPr>
              <w:rPr>
                <w:rFonts w:ascii="Arial" w:eastAsia="Arial" w:hAnsi="Arial" w:cs="Arial"/>
                <w:color w:val="222222"/>
                <w:sz w:val="20"/>
                <w:szCs w:val="20"/>
              </w:rPr>
            </w:pPr>
            <w:r>
              <w:rPr>
                <w:rFonts w:ascii="Arial" w:eastAsia="Arial" w:hAnsi="Arial" w:cs="Arial"/>
                <w:color w:val="222222"/>
                <w:sz w:val="20"/>
                <w:szCs w:val="20"/>
              </w:rPr>
              <w:t xml:space="preserve">Typically expected to have 5-10 </w:t>
            </w:r>
            <w:proofErr w:type="gramStart"/>
            <w:r>
              <w:rPr>
                <w:rFonts w:ascii="Arial" w:eastAsia="Arial" w:hAnsi="Arial" w:cs="Arial"/>
                <w:color w:val="222222"/>
                <w:sz w:val="20"/>
                <w:szCs w:val="20"/>
              </w:rPr>
              <w:t>years’</w:t>
            </w:r>
            <w:proofErr w:type="gramEnd"/>
            <w:r>
              <w:rPr>
                <w:rFonts w:ascii="Arial" w:eastAsia="Arial" w:hAnsi="Arial" w:cs="Arial"/>
                <w:color w:val="222222"/>
                <w:sz w:val="20"/>
                <w:szCs w:val="20"/>
              </w:rPr>
              <w:t>. </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Substantive experience and proficiency in the relevant field.</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Day-to-day matter management.</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Significant level of quality assurance.</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Appropriate direct contribution to difficult/important legal matters relating to a Buyer’s Call-Off Contract</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Will involve more senior grades of lawyer, as appropriate. </w:t>
            </w:r>
          </w:p>
          <w:p w:rsidR="00D72414" w:rsidRDefault="00D72414">
            <w:pPr>
              <w:rPr>
                <w:rFonts w:ascii="Arial" w:eastAsia="Arial" w:hAnsi="Arial" w:cs="Arial"/>
                <w:sz w:val="20"/>
                <w:szCs w:val="20"/>
              </w:rPr>
            </w:pPr>
          </w:p>
        </w:tc>
        <w:tc>
          <w:tcPr>
            <w:tcW w:w="3118" w:type="dxa"/>
            <w:tcBorders>
              <w:top w:val="dotted" w:sz="4" w:space="0" w:color="000000"/>
              <w:left w:val="single" w:sz="4" w:space="0" w:color="000000"/>
              <w:bottom w:val="dotted" w:sz="4" w:space="0" w:color="000000"/>
              <w:right w:val="single" w:sz="4" w:space="0" w:color="000000"/>
            </w:tcBorders>
          </w:tcPr>
          <w:p w:rsidR="00D72414" w:rsidRDefault="00D72414">
            <w:pPr>
              <w:rPr>
                <w:rFonts w:ascii="Arial" w:eastAsia="Arial" w:hAnsi="Arial" w:cs="Arial"/>
                <w:sz w:val="20"/>
                <w:szCs w:val="20"/>
              </w:rPr>
            </w:pPr>
          </w:p>
        </w:tc>
      </w:tr>
      <w:tr w:rsidR="00D72414">
        <w:tc>
          <w:tcPr>
            <w:tcW w:w="10060" w:type="dxa"/>
            <w:tcBorders>
              <w:top w:val="dotted" w:sz="4" w:space="0" w:color="000000"/>
              <w:left w:val="single" w:sz="4" w:space="0" w:color="000000"/>
              <w:bottom w:val="dotted" w:sz="4" w:space="0" w:color="000000"/>
              <w:right w:val="single" w:sz="4" w:space="0" w:color="000000"/>
            </w:tcBorders>
          </w:tcPr>
          <w:p w:rsidR="00D72414" w:rsidRDefault="00C0362E">
            <w:pPr>
              <w:rPr>
                <w:rFonts w:ascii="Arial" w:eastAsia="Arial" w:hAnsi="Arial" w:cs="Arial"/>
                <w:b/>
                <w:sz w:val="20"/>
                <w:szCs w:val="20"/>
              </w:rPr>
            </w:pPr>
            <w:r>
              <w:rPr>
                <w:rFonts w:ascii="Arial" w:eastAsia="Arial" w:hAnsi="Arial" w:cs="Arial"/>
                <w:b/>
                <w:sz w:val="20"/>
                <w:szCs w:val="20"/>
              </w:rPr>
              <w:lastRenderedPageBreak/>
              <w:t>Solicitor</w:t>
            </w:r>
          </w:p>
          <w:p w:rsidR="00D72414" w:rsidRDefault="00D72414">
            <w:pPr>
              <w:ind w:left="720"/>
              <w:rPr>
                <w:rFonts w:ascii="Arial" w:eastAsia="Arial" w:hAnsi="Arial" w:cs="Arial"/>
                <w:sz w:val="20"/>
                <w:szCs w:val="20"/>
              </w:rPr>
            </w:pPr>
          </w:p>
          <w:p w:rsidR="00D72414" w:rsidRDefault="00C0362E">
            <w:pPr>
              <w:rPr>
                <w:rFonts w:ascii="Arial" w:eastAsia="Arial" w:hAnsi="Arial" w:cs="Arial"/>
                <w:color w:val="222222"/>
                <w:sz w:val="20"/>
                <w:szCs w:val="20"/>
              </w:rPr>
            </w:pPr>
            <w:r>
              <w:rPr>
                <w:rFonts w:ascii="Arial" w:eastAsia="Arial" w:hAnsi="Arial" w:cs="Arial"/>
                <w:color w:val="222222"/>
                <w:sz w:val="20"/>
                <w:szCs w:val="20"/>
              </w:rPr>
              <w:t>Typically expected to have 3-5 years’ PQE.</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Main contact for the Buyer where a qualified Solicitor is required for advice and action in more complex Cases.</w:t>
            </w:r>
          </w:p>
          <w:p w:rsidR="00D72414" w:rsidRDefault="00C0362E">
            <w:pPr>
              <w:rPr>
                <w:rFonts w:ascii="Arial" w:eastAsia="Arial" w:hAnsi="Arial" w:cs="Arial"/>
                <w:color w:val="222222"/>
                <w:sz w:val="20"/>
                <w:szCs w:val="20"/>
              </w:rPr>
            </w:pPr>
            <w:r>
              <w:rPr>
                <w:rFonts w:ascii="Arial" w:eastAsia="Arial" w:hAnsi="Arial" w:cs="Arial"/>
                <w:color w:val="222222"/>
                <w:sz w:val="20"/>
                <w:szCs w:val="20"/>
              </w:rPr>
              <w:t>Will involve more senior grades of lawyer as appropriate.</w:t>
            </w:r>
          </w:p>
          <w:p w:rsidR="00D72414" w:rsidRDefault="00D72414">
            <w:pPr>
              <w:rPr>
                <w:rFonts w:ascii="Arial" w:eastAsia="Arial" w:hAnsi="Arial" w:cs="Arial"/>
                <w:sz w:val="20"/>
                <w:szCs w:val="20"/>
              </w:rPr>
            </w:pPr>
          </w:p>
        </w:tc>
        <w:tc>
          <w:tcPr>
            <w:tcW w:w="3118" w:type="dxa"/>
            <w:tcBorders>
              <w:top w:val="dotted" w:sz="4" w:space="0" w:color="000000"/>
              <w:left w:val="single" w:sz="4" w:space="0" w:color="000000"/>
              <w:bottom w:val="dotted" w:sz="4" w:space="0" w:color="000000"/>
              <w:right w:val="single" w:sz="4" w:space="0" w:color="000000"/>
            </w:tcBorders>
          </w:tcPr>
          <w:p w:rsidR="00D72414" w:rsidRDefault="00D72414">
            <w:pPr>
              <w:rPr>
                <w:rFonts w:ascii="Arial" w:eastAsia="Arial" w:hAnsi="Arial" w:cs="Arial"/>
                <w:sz w:val="20"/>
                <w:szCs w:val="20"/>
              </w:rPr>
            </w:pPr>
          </w:p>
        </w:tc>
      </w:tr>
      <w:tr w:rsidR="00D72414">
        <w:tc>
          <w:tcPr>
            <w:tcW w:w="10060" w:type="dxa"/>
            <w:tcBorders>
              <w:top w:val="dotted" w:sz="4" w:space="0" w:color="000000"/>
              <w:left w:val="single" w:sz="4" w:space="0" w:color="000000"/>
              <w:bottom w:val="dotted" w:sz="4" w:space="0" w:color="000000"/>
              <w:right w:val="single" w:sz="4" w:space="0" w:color="000000"/>
            </w:tcBorders>
          </w:tcPr>
          <w:p w:rsidR="00D72414" w:rsidRDefault="00C0362E">
            <w:pPr>
              <w:rPr>
                <w:rFonts w:ascii="Arial" w:eastAsia="Arial" w:hAnsi="Arial" w:cs="Arial"/>
                <w:b/>
                <w:sz w:val="20"/>
                <w:szCs w:val="20"/>
              </w:rPr>
            </w:pPr>
            <w:r>
              <w:rPr>
                <w:rFonts w:ascii="Arial" w:eastAsia="Arial" w:hAnsi="Arial" w:cs="Arial"/>
                <w:b/>
                <w:sz w:val="20"/>
                <w:szCs w:val="20"/>
              </w:rPr>
              <w:t xml:space="preserve">Trainee </w:t>
            </w:r>
          </w:p>
          <w:p w:rsidR="00D72414" w:rsidRDefault="00D72414">
            <w:pPr>
              <w:rPr>
                <w:rFonts w:ascii="Arial" w:eastAsia="Arial" w:hAnsi="Arial" w:cs="Arial"/>
                <w:sz w:val="20"/>
                <w:szCs w:val="20"/>
              </w:rPr>
            </w:pPr>
          </w:p>
          <w:p w:rsidR="00D72414" w:rsidRDefault="00C0362E">
            <w:pPr>
              <w:rPr>
                <w:rFonts w:ascii="Arial" w:eastAsia="Arial" w:hAnsi="Arial" w:cs="Arial"/>
                <w:sz w:val="20"/>
                <w:szCs w:val="20"/>
              </w:rPr>
            </w:pPr>
            <w:r>
              <w:rPr>
                <w:rFonts w:ascii="Arial" w:eastAsia="Arial" w:hAnsi="Arial" w:cs="Arial"/>
                <w:sz w:val="20"/>
                <w:szCs w:val="20"/>
              </w:rPr>
              <w:t>Leads on litigation actions and Buyer engagement under the Supervision of a qualified Solicitor</w:t>
            </w:r>
          </w:p>
          <w:p w:rsidR="00D72414" w:rsidRDefault="00D72414">
            <w:pPr>
              <w:rPr>
                <w:rFonts w:ascii="Arial" w:eastAsia="Arial" w:hAnsi="Arial" w:cs="Arial"/>
                <w:sz w:val="20"/>
                <w:szCs w:val="20"/>
              </w:rPr>
            </w:pPr>
          </w:p>
        </w:tc>
        <w:tc>
          <w:tcPr>
            <w:tcW w:w="3118" w:type="dxa"/>
            <w:tcBorders>
              <w:top w:val="dotted" w:sz="4" w:space="0" w:color="000000"/>
              <w:left w:val="single" w:sz="4" w:space="0" w:color="000000"/>
              <w:bottom w:val="dotted" w:sz="4" w:space="0" w:color="000000"/>
              <w:right w:val="single" w:sz="4" w:space="0" w:color="000000"/>
            </w:tcBorders>
          </w:tcPr>
          <w:p w:rsidR="00D72414" w:rsidRDefault="00D72414">
            <w:pPr>
              <w:rPr>
                <w:rFonts w:ascii="Arial" w:eastAsia="Arial" w:hAnsi="Arial" w:cs="Arial"/>
                <w:sz w:val="20"/>
                <w:szCs w:val="20"/>
              </w:rPr>
            </w:pPr>
          </w:p>
        </w:tc>
      </w:tr>
      <w:tr w:rsidR="00D72414">
        <w:tc>
          <w:tcPr>
            <w:tcW w:w="10060" w:type="dxa"/>
            <w:tcBorders>
              <w:top w:val="dotted" w:sz="4" w:space="0" w:color="000000"/>
              <w:left w:val="single" w:sz="4" w:space="0" w:color="000000"/>
              <w:bottom w:val="dotted" w:sz="4" w:space="0" w:color="000000"/>
              <w:right w:val="single" w:sz="4" w:space="0" w:color="000000"/>
            </w:tcBorders>
          </w:tcPr>
          <w:p w:rsidR="00D72414" w:rsidRDefault="00C0362E">
            <w:pPr>
              <w:rPr>
                <w:rFonts w:ascii="Arial" w:eastAsia="Arial" w:hAnsi="Arial" w:cs="Arial"/>
                <w:b/>
                <w:color w:val="202124"/>
                <w:sz w:val="20"/>
                <w:szCs w:val="20"/>
                <w:highlight w:val="white"/>
              </w:rPr>
            </w:pPr>
            <w:r>
              <w:rPr>
                <w:rFonts w:ascii="Arial" w:eastAsia="Arial" w:hAnsi="Arial" w:cs="Arial"/>
                <w:b/>
                <w:sz w:val="20"/>
                <w:szCs w:val="20"/>
              </w:rPr>
              <w:t xml:space="preserve">Paralegal </w:t>
            </w:r>
            <w:r>
              <w:rPr>
                <w:rFonts w:ascii="Arial" w:eastAsia="Arial" w:hAnsi="Arial" w:cs="Arial"/>
                <w:b/>
                <w:color w:val="202124"/>
                <w:sz w:val="20"/>
                <w:szCs w:val="20"/>
                <w:highlight w:val="white"/>
              </w:rPr>
              <w:t xml:space="preserve"> </w:t>
            </w:r>
          </w:p>
          <w:p w:rsidR="00D72414" w:rsidRDefault="00D72414">
            <w:pPr>
              <w:rPr>
                <w:rFonts w:ascii="Arial" w:eastAsia="Arial" w:hAnsi="Arial" w:cs="Arial"/>
                <w:color w:val="202124"/>
                <w:sz w:val="20"/>
                <w:szCs w:val="20"/>
                <w:highlight w:val="white"/>
              </w:rPr>
            </w:pPr>
          </w:p>
          <w:p w:rsidR="00D72414" w:rsidRDefault="00C0362E">
            <w:pPr>
              <w:rPr>
                <w:rFonts w:ascii="Arial" w:eastAsia="Arial" w:hAnsi="Arial" w:cs="Arial"/>
                <w:color w:val="202124"/>
                <w:sz w:val="20"/>
                <w:szCs w:val="20"/>
                <w:highlight w:val="white"/>
              </w:rPr>
            </w:pPr>
            <w:r>
              <w:rPr>
                <w:rFonts w:ascii="Arial" w:eastAsia="Arial" w:hAnsi="Arial" w:cs="Arial"/>
                <w:color w:val="202124"/>
                <w:sz w:val="20"/>
                <w:szCs w:val="20"/>
                <w:highlight w:val="white"/>
              </w:rPr>
              <w:t>Delivers of a range of litigation tasks and services, such as undertaking legal research, preparing legal documents and giving some legal advice to Buyers, where a qualified Solicitor is not required).</w:t>
            </w:r>
          </w:p>
          <w:p w:rsidR="00D72414" w:rsidRDefault="00D72414">
            <w:pPr>
              <w:rPr>
                <w:rFonts w:ascii="Arial" w:eastAsia="Arial" w:hAnsi="Arial" w:cs="Arial"/>
                <w:sz w:val="20"/>
                <w:szCs w:val="20"/>
              </w:rPr>
            </w:pPr>
          </w:p>
        </w:tc>
        <w:tc>
          <w:tcPr>
            <w:tcW w:w="3118" w:type="dxa"/>
            <w:tcBorders>
              <w:top w:val="dotted" w:sz="4" w:space="0" w:color="000000"/>
              <w:left w:val="single" w:sz="4" w:space="0" w:color="000000"/>
              <w:bottom w:val="dotted" w:sz="4" w:space="0" w:color="000000"/>
              <w:right w:val="single" w:sz="4" w:space="0" w:color="000000"/>
            </w:tcBorders>
          </w:tcPr>
          <w:p w:rsidR="00D72414" w:rsidRDefault="00D72414">
            <w:pPr>
              <w:rPr>
                <w:rFonts w:ascii="Arial" w:eastAsia="Arial" w:hAnsi="Arial" w:cs="Arial"/>
                <w:sz w:val="20"/>
                <w:szCs w:val="20"/>
              </w:rPr>
            </w:pPr>
          </w:p>
        </w:tc>
      </w:tr>
    </w:tbl>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PART I</w:t>
      </w:r>
    </w:p>
    <w:p w:rsidR="00D72414" w:rsidRDefault="00D72414">
      <w:pPr>
        <w:pBdr>
          <w:top w:val="nil"/>
          <w:left w:val="nil"/>
          <w:bottom w:val="nil"/>
          <w:right w:val="nil"/>
          <w:between w:val="nil"/>
        </w:pBdr>
        <w:jc w:val="both"/>
        <w:rPr>
          <w:rFonts w:ascii="Arial" w:eastAsia="Arial" w:hAnsi="Arial" w:cs="Arial"/>
          <w:color w:val="000000"/>
          <w:sz w:val="20"/>
          <w:szCs w:val="20"/>
        </w:rPr>
      </w:pPr>
    </w:p>
    <w:p w:rsidR="00D72414" w:rsidRDefault="00D72414">
      <w:pPr>
        <w:pBdr>
          <w:top w:val="nil"/>
          <w:left w:val="nil"/>
          <w:bottom w:val="nil"/>
          <w:right w:val="nil"/>
          <w:between w:val="nil"/>
        </w:pBdr>
        <w:ind w:left="720"/>
        <w:jc w:val="both"/>
        <w:rPr>
          <w:rFonts w:ascii="Arial" w:eastAsia="Arial" w:hAnsi="Arial" w:cs="Arial"/>
          <w:color w:val="000000"/>
          <w:sz w:val="20"/>
          <w:szCs w:val="20"/>
        </w:rPr>
      </w:pPr>
    </w:p>
    <w:p w:rsidR="00D72414" w:rsidRDefault="00C0362E">
      <w:pPr>
        <w:numPr>
          <w:ilvl w:val="0"/>
          <w:numId w:val="8"/>
        </w:numPr>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u w:val="single"/>
        </w:rPr>
        <w:t>Part I: Auctioneers Services Lots 8 - 13</w:t>
      </w:r>
    </w:p>
    <w:p w:rsidR="00D72414" w:rsidRDefault="00C0362E">
      <w:pPr>
        <w:pBdr>
          <w:top w:val="nil"/>
          <w:left w:val="nil"/>
          <w:bottom w:val="nil"/>
          <w:right w:val="nil"/>
          <w:between w:val="nil"/>
        </w:pBdr>
        <w:ind w:left="360"/>
        <w:jc w:val="both"/>
        <w:rPr>
          <w:rFonts w:ascii="Arial" w:eastAsia="Arial" w:hAnsi="Arial" w:cs="Arial"/>
          <w:b/>
          <w:color w:val="000000"/>
          <w:sz w:val="20"/>
          <w:szCs w:val="20"/>
        </w:rPr>
      </w:pPr>
      <w:r>
        <w:rPr>
          <w:rFonts w:ascii="Arial" w:eastAsia="Arial" w:hAnsi="Arial" w:cs="Arial"/>
          <w:b/>
          <w:color w:val="000000"/>
          <w:sz w:val="20"/>
          <w:szCs w:val="20"/>
        </w:rPr>
        <w:t xml:space="preserve"> </w:t>
      </w:r>
    </w:p>
    <w:p w:rsidR="00D72414" w:rsidRDefault="00C0362E">
      <w:pPr>
        <w:numPr>
          <w:ilvl w:val="1"/>
          <w:numId w:val="8"/>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Charges for this Service exclude any fees levied in accordance with the </w:t>
      </w:r>
      <w:r>
        <w:rPr>
          <w:rFonts w:ascii="Arial" w:eastAsia="Arial" w:hAnsi="Arial" w:cs="Arial"/>
          <w:b/>
          <w:color w:val="000000"/>
          <w:sz w:val="20"/>
          <w:szCs w:val="20"/>
        </w:rPr>
        <w:t xml:space="preserve">Taking Control </w:t>
      </w:r>
      <w:proofErr w:type="gramStart"/>
      <w:r>
        <w:rPr>
          <w:rFonts w:ascii="Arial" w:eastAsia="Arial" w:hAnsi="Arial" w:cs="Arial"/>
          <w:b/>
          <w:color w:val="000000"/>
          <w:sz w:val="20"/>
          <w:szCs w:val="20"/>
        </w:rPr>
        <w:t>Of</w:t>
      </w:r>
      <w:proofErr w:type="gramEnd"/>
      <w:r>
        <w:rPr>
          <w:rFonts w:ascii="Arial" w:eastAsia="Arial" w:hAnsi="Arial" w:cs="Arial"/>
          <w:b/>
          <w:color w:val="000000"/>
          <w:sz w:val="20"/>
          <w:szCs w:val="20"/>
        </w:rPr>
        <w:t xml:space="preserve"> Goods (Fees) Regulations (2014).</w:t>
      </w:r>
      <w:r>
        <w:rPr>
          <w:rFonts w:ascii="Arial" w:eastAsia="Arial" w:hAnsi="Arial" w:cs="Arial"/>
          <w:color w:val="000000"/>
          <w:sz w:val="20"/>
          <w:szCs w:val="20"/>
        </w:rPr>
        <w:t xml:space="preserve"> </w:t>
      </w:r>
    </w:p>
    <w:p w:rsidR="00D72414" w:rsidRDefault="00D72414">
      <w:pPr>
        <w:pBdr>
          <w:top w:val="nil"/>
          <w:left w:val="nil"/>
          <w:bottom w:val="nil"/>
          <w:right w:val="nil"/>
          <w:between w:val="nil"/>
        </w:pBdr>
        <w:ind w:left="360"/>
        <w:jc w:val="both"/>
        <w:rPr>
          <w:rFonts w:ascii="Arial" w:eastAsia="Arial" w:hAnsi="Arial" w:cs="Arial"/>
          <w:color w:val="000000"/>
          <w:sz w:val="20"/>
          <w:szCs w:val="20"/>
        </w:rPr>
      </w:pPr>
    </w:p>
    <w:p w:rsidR="00D72414" w:rsidRDefault="00C0362E">
      <w:pPr>
        <w:numPr>
          <w:ilvl w:val="1"/>
          <w:numId w:val="8"/>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following Chargeable activities and following Paragraphs within this Part I shall apply to the Services provided under Lots 8 to 13 (inclusive):</w:t>
      </w:r>
    </w:p>
    <w:p w:rsidR="00D72414" w:rsidRDefault="00D72414">
      <w:pPr>
        <w:pBdr>
          <w:top w:val="nil"/>
          <w:left w:val="nil"/>
          <w:bottom w:val="nil"/>
          <w:right w:val="nil"/>
          <w:between w:val="nil"/>
        </w:pBdr>
        <w:ind w:left="360"/>
        <w:jc w:val="both"/>
        <w:rPr>
          <w:rFonts w:ascii="Arial" w:eastAsia="Arial" w:hAnsi="Arial" w:cs="Arial"/>
          <w:color w:val="000000"/>
          <w:sz w:val="20"/>
          <w:szCs w:val="20"/>
        </w:rPr>
      </w:pPr>
    </w:p>
    <w:p w:rsidR="00D72414" w:rsidRDefault="00C0362E">
      <w:pPr>
        <w:numPr>
          <w:ilvl w:val="2"/>
          <w:numId w:val="8"/>
        </w:numPr>
        <w:pBdr>
          <w:top w:val="nil"/>
          <w:left w:val="nil"/>
          <w:bottom w:val="nil"/>
          <w:right w:val="nil"/>
          <w:between w:val="nil"/>
        </w:pBdr>
        <w:ind w:left="1134"/>
        <w:jc w:val="both"/>
        <w:rPr>
          <w:rFonts w:ascii="Arial" w:eastAsia="Arial" w:hAnsi="Arial" w:cs="Arial"/>
          <w:color w:val="000000"/>
          <w:sz w:val="20"/>
          <w:szCs w:val="20"/>
        </w:rPr>
      </w:pPr>
      <w:r>
        <w:rPr>
          <w:rFonts w:ascii="Arial" w:eastAsia="Arial" w:hAnsi="Arial" w:cs="Arial"/>
          <w:color w:val="000000"/>
          <w:sz w:val="20"/>
          <w:szCs w:val="20"/>
        </w:rPr>
        <w:t>The Charges shall be calculated either on (a) Unit Price per activity basis, or (b) on a Commission basis.</w:t>
      </w:r>
    </w:p>
    <w:p w:rsidR="00D72414" w:rsidRDefault="00C0362E">
      <w:pPr>
        <w:pBdr>
          <w:top w:val="nil"/>
          <w:left w:val="nil"/>
          <w:bottom w:val="nil"/>
          <w:right w:val="nil"/>
          <w:between w:val="nil"/>
        </w:pBdr>
        <w:ind w:left="1134"/>
        <w:jc w:val="both"/>
        <w:rPr>
          <w:rFonts w:ascii="Arial" w:eastAsia="Arial" w:hAnsi="Arial" w:cs="Arial"/>
          <w:color w:val="000000"/>
          <w:sz w:val="20"/>
          <w:szCs w:val="20"/>
        </w:rPr>
      </w:pPr>
      <w:r>
        <w:rPr>
          <w:rFonts w:ascii="Arial" w:eastAsia="Arial" w:hAnsi="Arial" w:cs="Arial"/>
          <w:color w:val="000000"/>
          <w:sz w:val="20"/>
          <w:szCs w:val="20"/>
        </w:rPr>
        <w:t xml:space="preserve"> </w:t>
      </w:r>
    </w:p>
    <w:p w:rsidR="00D72414" w:rsidRDefault="00C0362E">
      <w:pPr>
        <w:numPr>
          <w:ilvl w:val="2"/>
          <w:numId w:val="8"/>
        </w:numPr>
        <w:pBdr>
          <w:top w:val="nil"/>
          <w:left w:val="nil"/>
          <w:bottom w:val="nil"/>
          <w:right w:val="nil"/>
          <w:between w:val="nil"/>
        </w:pBdr>
        <w:ind w:left="1134"/>
        <w:jc w:val="both"/>
        <w:rPr>
          <w:rFonts w:ascii="Arial" w:eastAsia="Arial" w:hAnsi="Arial" w:cs="Arial"/>
          <w:color w:val="000000"/>
          <w:sz w:val="20"/>
          <w:szCs w:val="20"/>
        </w:rPr>
      </w:pPr>
      <w:r>
        <w:rPr>
          <w:rFonts w:ascii="Arial" w:eastAsia="Arial" w:hAnsi="Arial" w:cs="Arial"/>
          <w:color w:val="000000"/>
          <w:sz w:val="20"/>
          <w:szCs w:val="20"/>
        </w:rPr>
        <w:t>The activities Charged on a Unit Price basis are detailed within Table 1 below. The references to URN 8.0 (and URNs 8.0a to g) shall be replaced by URNs 9.0 (a to g) to 13.0 (a to g), as appropriate.</w:t>
      </w:r>
    </w:p>
    <w:p w:rsidR="00D72414" w:rsidRDefault="00D72414">
      <w:pPr>
        <w:pBdr>
          <w:top w:val="nil"/>
          <w:left w:val="nil"/>
          <w:bottom w:val="nil"/>
          <w:right w:val="nil"/>
          <w:between w:val="nil"/>
        </w:pBdr>
        <w:ind w:left="1134"/>
        <w:rPr>
          <w:rFonts w:ascii="Arial" w:eastAsia="Arial" w:hAnsi="Arial" w:cs="Arial"/>
          <w:color w:val="000000"/>
          <w:sz w:val="20"/>
          <w:szCs w:val="20"/>
        </w:rPr>
      </w:pPr>
    </w:p>
    <w:p w:rsidR="00D72414" w:rsidRDefault="00C0362E">
      <w:pPr>
        <w:numPr>
          <w:ilvl w:val="2"/>
          <w:numId w:val="8"/>
        </w:numPr>
        <w:pBdr>
          <w:top w:val="nil"/>
          <w:left w:val="nil"/>
          <w:bottom w:val="nil"/>
          <w:right w:val="nil"/>
          <w:between w:val="nil"/>
        </w:pBdr>
        <w:ind w:left="1134"/>
        <w:jc w:val="both"/>
        <w:rPr>
          <w:rFonts w:ascii="Arial" w:eastAsia="Arial" w:hAnsi="Arial" w:cs="Arial"/>
          <w:color w:val="000000"/>
          <w:sz w:val="20"/>
          <w:szCs w:val="20"/>
        </w:rPr>
      </w:pPr>
      <w:r>
        <w:rPr>
          <w:rFonts w:ascii="Arial" w:eastAsia="Arial" w:hAnsi="Arial" w:cs="Arial"/>
          <w:color w:val="000000"/>
          <w:sz w:val="20"/>
          <w:szCs w:val="20"/>
        </w:rPr>
        <w:t xml:space="preserve">The Supplier and Buyer will agree any Set-Up Charges on an Open Book Costs basis as part of the Call-Off Contract. </w:t>
      </w:r>
    </w:p>
    <w:p w:rsidR="00D72414" w:rsidRDefault="00D72414">
      <w:pPr>
        <w:pBdr>
          <w:top w:val="nil"/>
          <w:left w:val="nil"/>
          <w:bottom w:val="nil"/>
          <w:right w:val="nil"/>
          <w:between w:val="nil"/>
        </w:pBdr>
        <w:ind w:left="1134"/>
        <w:rPr>
          <w:rFonts w:ascii="Arial" w:eastAsia="Arial" w:hAnsi="Arial" w:cs="Arial"/>
          <w:color w:val="000000"/>
          <w:sz w:val="20"/>
          <w:szCs w:val="20"/>
        </w:rPr>
      </w:pPr>
    </w:p>
    <w:p w:rsidR="00D72414" w:rsidRDefault="00C0362E">
      <w:pPr>
        <w:numPr>
          <w:ilvl w:val="2"/>
          <w:numId w:val="8"/>
        </w:numPr>
        <w:pBdr>
          <w:top w:val="nil"/>
          <w:left w:val="nil"/>
          <w:bottom w:val="nil"/>
          <w:right w:val="nil"/>
          <w:between w:val="nil"/>
        </w:pBdr>
        <w:ind w:left="1134"/>
        <w:jc w:val="both"/>
        <w:rPr>
          <w:rFonts w:ascii="Arial" w:eastAsia="Arial" w:hAnsi="Arial" w:cs="Arial"/>
          <w:color w:val="000000"/>
          <w:sz w:val="20"/>
          <w:szCs w:val="20"/>
        </w:rPr>
      </w:pPr>
      <w:r>
        <w:rPr>
          <w:rFonts w:ascii="Arial" w:eastAsia="Arial" w:hAnsi="Arial" w:cs="Arial"/>
          <w:color w:val="000000"/>
          <w:sz w:val="20"/>
          <w:szCs w:val="20"/>
        </w:rPr>
        <w:t>The Charges that are calculated on a Commission basis relate to the sale of Goods at auction only. These Charges shall be calculated as a percentage (%) of the sum realised from the sale of the Goods as follows:</w:t>
      </w:r>
    </w:p>
    <w:p w:rsidR="00D72414" w:rsidRDefault="00D72414">
      <w:pPr>
        <w:rPr>
          <w:rFonts w:ascii="Arial" w:eastAsia="Arial" w:hAnsi="Arial" w:cs="Arial"/>
          <w:color w:val="000000"/>
          <w:sz w:val="20"/>
          <w:szCs w:val="20"/>
        </w:rPr>
      </w:pPr>
    </w:p>
    <w:p w:rsidR="00D72414" w:rsidRDefault="00C0362E">
      <w:pPr>
        <w:keepNext/>
        <w:numPr>
          <w:ilvl w:val="0"/>
          <w:numId w:val="10"/>
        </w:numPr>
        <w:pBdr>
          <w:top w:val="nil"/>
          <w:left w:val="nil"/>
          <w:bottom w:val="nil"/>
          <w:right w:val="nil"/>
          <w:between w:val="nil"/>
        </w:pBdr>
        <w:spacing w:before="240" w:after="160"/>
        <w:ind w:left="1134"/>
        <w:jc w:val="both"/>
        <w:rPr>
          <w:rFonts w:ascii="Arial" w:eastAsia="Arial" w:hAnsi="Arial" w:cs="Arial"/>
          <w:color w:val="000000"/>
          <w:sz w:val="20"/>
          <w:szCs w:val="20"/>
        </w:rPr>
      </w:pPr>
      <w:r>
        <w:rPr>
          <w:rFonts w:ascii="Arial" w:eastAsia="Arial" w:hAnsi="Arial" w:cs="Arial"/>
          <w:color w:val="000000"/>
          <w:sz w:val="20"/>
          <w:szCs w:val="20"/>
        </w:rPr>
        <w:lastRenderedPageBreak/>
        <w:t>If the sale is undertaken at the Supplier’s premises then a percentage (%) of the gross sale price realised shall be charged, plus other Disbursements that the Law allows. The Commission is capped at 15% of the gross sale price of the Goods.</w:t>
      </w:r>
    </w:p>
    <w:p w:rsidR="00D72414" w:rsidRDefault="00C0362E">
      <w:pPr>
        <w:keepNext/>
        <w:numPr>
          <w:ilvl w:val="0"/>
          <w:numId w:val="10"/>
        </w:numPr>
        <w:pBdr>
          <w:top w:val="nil"/>
          <w:left w:val="nil"/>
          <w:bottom w:val="nil"/>
          <w:right w:val="nil"/>
          <w:between w:val="nil"/>
        </w:pBdr>
        <w:spacing w:before="240" w:after="160"/>
        <w:ind w:left="1134"/>
        <w:jc w:val="both"/>
        <w:rPr>
          <w:rFonts w:ascii="Arial" w:eastAsia="Arial" w:hAnsi="Arial" w:cs="Arial"/>
          <w:color w:val="000000"/>
          <w:sz w:val="20"/>
          <w:szCs w:val="20"/>
        </w:rPr>
      </w:pPr>
      <w:r>
        <w:rPr>
          <w:rFonts w:ascii="Arial" w:eastAsia="Arial" w:hAnsi="Arial" w:cs="Arial"/>
          <w:color w:val="000000"/>
          <w:sz w:val="20"/>
          <w:szCs w:val="20"/>
        </w:rPr>
        <w:t>If the sale is undertaken at the Customer’s premises then a percentage (%) of the gross sale price realised shall be charged, plus other Disbursements that the Law allows as defined within the Civil Procedure Rules. The Commission is capped at 7.5% of the gross sale price of the Goods.</w:t>
      </w:r>
    </w:p>
    <w:p w:rsidR="00D72414" w:rsidRDefault="00C0362E">
      <w:p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b/>
          <w:color w:val="000000"/>
          <w:sz w:val="20"/>
          <w:szCs w:val="20"/>
        </w:rPr>
        <w:t>Table 1</w:t>
      </w:r>
    </w:p>
    <w:p w:rsidR="00D72414" w:rsidRDefault="00D72414">
      <w:pPr>
        <w:pBdr>
          <w:top w:val="nil"/>
          <w:left w:val="nil"/>
          <w:bottom w:val="nil"/>
          <w:right w:val="nil"/>
          <w:between w:val="nil"/>
        </w:pBdr>
        <w:spacing w:before="240"/>
        <w:jc w:val="both"/>
        <w:rPr>
          <w:rFonts w:ascii="Arial" w:eastAsia="Arial" w:hAnsi="Arial" w:cs="Arial"/>
          <w:b/>
          <w:color w:val="000000"/>
          <w:sz w:val="20"/>
          <w:szCs w:val="20"/>
        </w:rPr>
      </w:pPr>
    </w:p>
    <w:tbl>
      <w:tblPr>
        <w:tblStyle w:val="affffb"/>
        <w:tblW w:w="14029"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3553"/>
        <w:gridCol w:w="2835"/>
        <w:gridCol w:w="7641"/>
      </w:tblGrid>
      <w:tr w:rsidR="00D72414">
        <w:tc>
          <w:tcPr>
            <w:tcW w:w="3553" w:type="dxa"/>
            <w:shd w:val="clear" w:color="auto" w:fill="E7E6E6"/>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 xml:space="preserve">URN 8.0 ACTIVITY TYPE </w:t>
            </w:r>
          </w:p>
          <w:p w:rsidR="00D72414" w:rsidRDefault="00C0362E">
            <w:pPr>
              <w:spacing w:before="240"/>
              <w:jc w:val="both"/>
              <w:rPr>
                <w:rFonts w:ascii="Arial" w:eastAsia="Arial" w:hAnsi="Arial" w:cs="Arial"/>
                <w:b/>
                <w:sz w:val="20"/>
                <w:szCs w:val="20"/>
              </w:rPr>
            </w:pPr>
            <w:r>
              <w:rPr>
                <w:rFonts w:ascii="Arial" w:eastAsia="Arial" w:hAnsi="Arial" w:cs="Arial"/>
                <w:b/>
                <w:sz w:val="20"/>
                <w:szCs w:val="20"/>
              </w:rPr>
              <w:t>(for Lots 9 to 13, URN 8.0 shall be replaced as appropriate to the lot)</w:t>
            </w:r>
          </w:p>
        </w:tc>
        <w:tc>
          <w:tcPr>
            <w:tcW w:w="2835" w:type="dxa"/>
            <w:shd w:val="clear" w:color="auto" w:fill="E7E6E6"/>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Unit Price £</w:t>
            </w:r>
          </w:p>
        </w:tc>
        <w:tc>
          <w:tcPr>
            <w:tcW w:w="7641" w:type="dxa"/>
            <w:shd w:val="clear" w:color="auto" w:fill="E7E6E6"/>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Description and Guidance</w:t>
            </w:r>
          </w:p>
        </w:tc>
      </w:tr>
      <w:tr w:rsidR="00D72414">
        <w:tc>
          <w:tcPr>
            <w:tcW w:w="3553"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 xml:space="preserve">URN 8.0a Primary Action Fee </w:t>
            </w:r>
          </w:p>
        </w:tc>
        <w:tc>
          <w:tcPr>
            <w:tcW w:w="283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w:t>
            </w:r>
          </w:p>
        </w:tc>
        <w:tc>
          <w:tcPr>
            <w:tcW w:w="7641" w:type="dxa"/>
          </w:tcPr>
          <w:p w:rsidR="00D72414" w:rsidRDefault="00C0362E">
            <w:pPr>
              <w:jc w:val="both"/>
              <w:rPr>
                <w:rFonts w:ascii="Arial" w:eastAsia="Arial" w:hAnsi="Arial" w:cs="Arial"/>
                <w:sz w:val="20"/>
                <w:szCs w:val="20"/>
              </w:rPr>
            </w:pPr>
            <w:r>
              <w:rPr>
                <w:rFonts w:ascii="Arial" w:eastAsia="Arial" w:hAnsi="Arial" w:cs="Arial"/>
                <w:sz w:val="20"/>
                <w:szCs w:val="20"/>
              </w:rPr>
              <w:t xml:space="preserve">This Framework Price shall include the initial assessment of the Case and Customer contact by telephone to warn them that in absence of immediate payment to the Buyer the Supplier will </w:t>
            </w:r>
            <w:proofErr w:type="gramStart"/>
            <w:r>
              <w:rPr>
                <w:rFonts w:ascii="Arial" w:eastAsia="Arial" w:hAnsi="Arial" w:cs="Arial"/>
                <w:sz w:val="20"/>
                <w:szCs w:val="20"/>
              </w:rPr>
              <w:t>take action</w:t>
            </w:r>
            <w:proofErr w:type="gramEnd"/>
            <w:r>
              <w:rPr>
                <w:rFonts w:ascii="Arial" w:eastAsia="Arial" w:hAnsi="Arial" w:cs="Arial"/>
                <w:sz w:val="20"/>
                <w:szCs w:val="20"/>
              </w:rPr>
              <w:t xml:space="preserve"> to remove goods and sell them. </w:t>
            </w:r>
          </w:p>
          <w:p w:rsidR="00D72414" w:rsidRDefault="00D72414">
            <w:pPr>
              <w:jc w:val="both"/>
              <w:rPr>
                <w:rFonts w:ascii="Arial" w:eastAsia="Arial" w:hAnsi="Arial" w:cs="Arial"/>
                <w:sz w:val="20"/>
                <w:szCs w:val="20"/>
              </w:rPr>
            </w:pPr>
          </w:p>
          <w:p w:rsidR="00D72414" w:rsidRDefault="00C0362E">
            <w:pPr>
              <w:jc w:val="both"/>
              <w:rPr>
                <w:rFonts w:ascii="Arial" w:eastAsia="Arial" w:hAnsi="Arial" w:cs="Arial"/>
                <w:sz w:val="20"/>
                <w:szCs w:val="20"/>
              </w:rPr>
            </w:pPr>
            <w:r>
              <w:rPr>
                <w:rFonts w:ascii="Arial" w:eastAsia="Arial" w:hAnsi="Arial" w:cs="Arial"/>
                <w:sz w:val="20"/>
                <w:szCs w:val="20"/>
              </w:rPr>
              <w:t xml:space="preserve">A letter (which will be supplied by the Buyer, unless specified by the Buyer in writing) should then be issued to the Customer advising them of the date of removal, allowing seven (7) Working Days, after which if the Debt remains unpaid removal and sale of the goods shall proceed. </w:t>
            </w:r>
          </w:p>
          <w:p w:rsidR="00D72414" w:rsidRDefault="00D72414">
            <w:pPr>
              <w:spacing w:before="240"/>
              <w:jc w:val="both"/>
              <w:rPr>
                <w:rFonts w:ascii="Arial" w:eastAsia="Arial" w:hAnsi="Arial" w:cs="Arial"/>
                <w:b/>
                <w:sz w:val="20"/>
                <w:szCs w:val="20"/>
              </w:rPr>
            </w:pPr>
          </w:p>
        </w:tc>
      </w:tr>
      <w:tr w:rsidR="00D72414">
        <w:tc>
          <w:tcPr>
            <w:tcW w:w="3553"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URN 8.0b Appraisal Fee</w:t>
            </w:r>
          </w:p>
        </w:tc>
        <w:tc>
          <w:tcPr>
            <w:tcW w:w="283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 xml:space="preserve">£ </w:t>
            </w:r>
          </w:p>
        </w:tc>
        <w:tc>
          <w:tcPr>
            <w:tcW w:w="7641" w:type="dxa"/>
          </w:tcPr>
          <w:p w:rsidR="00D72414" w:rsidRDefault="00C0362E">
            <w:pPr>
              <w:jc w:val="both"/>
              <w:rPr>
                <w:rFonts w:ascii="Arial" w:eastAsia="Arial" w:hAnsi="Arial" w:cs="Arial"/>
                <w:sz w:val="20"/>
                <w:szCs w:val="20"/>
              </w:rPr>
            </w:pPr>
            <w:r>
              <w:rPr>
                <w:rFonts w:ascii="Arial" w:eastAsia="Arial" w:hAnsi="Arial" w:cs="Arial"/>
                <w:sz w:val="20"/>
                <w:szCs w:val="20"/>
              </w:rPr>
              <w:t xml:space="preserve">This shall be an Hourly Rate for the Supplier Staff to work individual Cases, including all aspects such as telephone contact, appraisal and removal. The Price shall include travel &amp; subsistence costs. </w:t>
            </w:r>
          </w:p>
          <w:p w:rsidR="00D72414" w:rsidRDefault="00D72414">
            <w:pPr>
              <w:jc w:val="both"/>
              <w:rPr>
                <w:rFonts w:ascii="Arial" w:eastAsia="Arial" w:hAnsi="Arial" w:cs="Arial"/>
                <w:sz w:val="20"/>
                <w:szCs w:val="20"/>
              </w:rPr>
            </w:pPr>
          </w:p>
          <w:p w:rsidR="00D72414" w:rsidRDefault="00C0362E">
            <w:pPr>
              <w:jc w:val="both"/>
              <w:rPr>
                <w:rFonts w:ascii="Arial" w:eastAsia="Arial" w:hAnsi="Arial" w:cs="Arial"/>
                <w:sz w:val="20"/>
                <w:szCs w:val="20"/>
              </w:rPr>
            </w:pPr>
            <w:r>
              <w:rPr>
                <w:rFonts w:ascii="Arial" w:eastAsia="Arial" w:hAnsi="Arial" w:cs="Arial"/>
                <w:sz w:val="20"/>
                <w:szCs w:val="20"/>
              </w:rPr>
              <w:t xml:space="preserve">Timesheets shall be kept by the Supplier and provided to the Buyer on request, to detail the time spent working on individual Cases; time should be rounded to the nearest 15 minutes. </w:t>
            </w:r>
          </w:p>
          <w:p w:rsidR="00D72414" w:rsidRDefault="00D72414">
            <w:pPr>
              <w:jc w:val="both"/>
              <w:rPr>
                <w:rFonts w:ascii="Arial" w:eastAsia="Arial" w:hAnsi="Arial" w:cs="Arial"/>
                <w:sz w:val="20"/>
                <w:szCs w:val="20"/>
              </w:rPr>
            </w:pPr>
          </w:p>
          <w:p w:rsidR="00D72414" w:rsidRDefault="00C0362E">
            <w:pPr>
              <w:jc w:val="both"/>
              <w:rPr>
                <w:rFonts w:ascii="Arial" w:eastAsia="Arial" w:hAnsi="Arial" w:cs="Arial"/>
                <w:sz w:val="20"/>
                <w:szCs w:val="20"/>
              </w:rPr>
            </w:pPr>
            <w:r>
              <w:rPr>
                <w:rFonts w:ascii="Arial" w:eastAsia="Arial" w:hAnsi="Arial" w:cs="Arial"/>
                <w:sz w:val="20"/>
                <w:szCs w:val="20"/>
              </w:rPr>
              <w:t>Where available and unless instructed to the contrary Appraisals shall be carried out based on the inventory provided by the Buyer.</w:t>
            </w:r>
          </w:p>
          <w:p w:rsidR="00D72414" w:rsidRDefault="00C0362E">
            <w:pPr>
              <w:jc w:val="both"/>
              <w:rPr>
                <w:rFonts w:ascii="Arial" w:eastAsia="Arial" w:hAnsi="Arial" w:cs="Arial"/>
                <w:b/>
                <w:sz w:val="20"/>
                <w:szCs w:val="20"/>
              </w:rPr>
            </w:pPr>
            <w:r>
              <w:rPr>
                <w:rFonts w:ascii="Arial" w:eastAsia="Arial" w:hAnsi="Arial" w:cs="Arial"/>
                <w:sz w:val="20"/>
                <w:szCs w:val="20"/>
              </w:rPr>
              <w:t xml:space="preserve"> </w:t>
            </w:r>
          </w:p>
        </w:tc>
      </w:tr>
      <w:tr w:rsidR="00D72414">
        <w:tc>
          <w:tcPr>
            <w:tcW w:w="3553"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 xml:space="preserve">URN 8.0c Labour Charges </w:t>
            </w:r>
          </w:p>
        </w:tc>
        <w:tc>
          <w:tcPr>
            <w:tcW w:w="2835" w:type="dxa"/>
            <w:shd w:val="clear" w:color="auto" w:fill="D0CECE"/>
          </w:tcPr>
          <w:p w:rsidR="00D72414" w:rsidRDefault="00D72414">
            <w:pPr>
              <w:spacing w:before="240"/>
              <w:jc w:val="both"/>
              <w:rPr>
                <w:rFonts w:ascii="Arial" w:eastAsia="Arial" w:hAnsi="Arial" w:cs="Arial"/>
                <w:b/>
                <w:sz w:val="20"/>
                <w:szCs w:val="20"/>
              </w:rPr>
            </w:pPr>
          </w:p>
        </w:tc>
        <w:tc>
          <w:tcPr>
            <w:tcW w:w="7641" w:type="dxa"/>
          </w:tcPr>
          <w:p w:rsidR="00D72414" w:rsidRDefault="00C0362E">
            <w:pPr>
              <w:rPr>
                <w:rFonts w:ascii="Arial" w:eastAsia="Arial" w:hAnsi="Arial" w:cs="Arial"/>
                <w:sz w:val="20"/>
                <w:szCs w:val="20"/>
              </w:rPr>
            </w:pPr>
            <w:r>
              <w:rPr>
                <w:rFonts w:ascii="Arial" w:eastAsia="Arial" w:hAnsi="Arial" w:cs="Arial"/>
                <w:sz w:val="20"/>
                <w:szCs w:val="20"/>
              </w:rPr>
              <w:t xml:space="preserve">This is for the cost of the Supplier Staff (a driver and a porter) to remove Goods from the Customer’s premises and transport them to the Supplier’s premises. </w:t>
            </w:r>
          </w:p>
          <w:p w:rsidR="00D72414" w:rsidRDefault="00D72414">
            <w:pPr>
              <w:rPr>
                <w:rFonts w:ascii="Arial" w:eastAsia="Arial" w:hAnsi="Arial" w:cs="Arial"/>
                <w:sz w:val="20"/>
                <w:szCs w:val="20"/>
              </w:rPr>
            </w:pPr>
          </w:p>
          <w:p w:rsidR="00D72414" w:rsidRDefault="00C0362E">
            <w:pPr>
              <w:rPr>
                <w:rFonts w:ascii="Arial" w:eastAsia="Arial" w:hAnsi="Arial" w:cs="Arial"/>
                <w:sz w:val="20"/>
                <w:szCs w:val="20"/>
              </w:rPr>
            </w:pPr>
            <w:r>
              <w:rPr>
                <w:rFonts w:ascii="Arial" w:eastAsia="Arial" w:hAnsi="Arial" w:cs="Arial"/>
                <w:sz w:val="20"/>
                <w:szCs w:val="20"/>
              </w:rPr>
              <w:t xml:space="preserve">This shall only include time necessarily spent delivering the Service. For journeys made in respect of the collection, transportation and storage of Goods, the Supplier shall promptly evidence to the Buyer that the quickest route was taken by the Supplier’s Staff, upon written request. </w:t>
            </w:r>
          </w:p>
          <w:p w:rsidR="00D72414" w:rsidRDefault="00D72414">
            <w:pPr>
              <w:rPr>
                <w:rFonts w:ascii="Arial" w:eastAsia="Arial" w:hAnsi="Arial" w:cs="Arial"/>
                <w:sz w:val="20"/>
                <w:szCs w:val="20"/>
              </w:rPr>
            </w:pPr>
          </w:p>
          <w:p w:rsidR="00D72414" w:rsidRDefault="00C0362E">
            <w:pPr>
              <w:rPr>
                <w:rFonts w:ascii="Arial" w:eastAsia="Arial" w:hAnsi="Arial" w:cs="Arial"/>
                <w:sz w:val="20"/>
                <w:szCs w:val="20"/>
              </w:rPr>
            </w:pPr>
            <w:r>
              <w:rPr>
                <w:rFonts w:ascii="Arial" w:eastAsia="Arial" w:hAnsi="Arial" w:cs="Arial"/>
                <w:sz w:val="20"/>
                <w:szCs w:val="20"/>
              </w:rPr>
              <w:t>If the Supplier’s vehicles are not collocated with the Supplier Staff delivering the Service, then the Supplier must only record time spent by the Supplier Staff from the point they have collected the vehicle and cease recording time spent once the vehicle has been returned to the collection location or another premises if it results in a lesser Charge to the Buyer</w:t>
            </w:r>
          </w:p>
          <w:p w:rsidR="00D72414" w:rsidRDefault="00D72414">
            <w:pPr>
              <w:rPr>
                <w:rFonts w:ascii="Arial" w:eastAsia="Arial" w:hAnsi="Arial" w:cs="Arial"/>
                <w:b/>
                <w:sz w:val="20"/>
                <w:szCs w:val="20"/>
              </w:rPr>
            </w:pPr>
          </w:p>
        </w:tc>
      </w:tr>
      <w:tr w:rsidR="00D72414">
        <w:tc>
          <w:tcPr>
            <w:tcW w:w="3553"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lastRenderedPageBreak/>
              <w:t xml:space="preserve">URN 8.0c </w:t>
            </w:r>
            <w:proofErr w:type="spellStart"/>
            <w:r>
              <w:rPr>
                <w:rFonts w:ascii="Arial" w:eastAsia="Arial" w:hAnsi="Arial" w:cs="Arial"/>
                <w:sz w:val="20"/>
                <w:szCs w:val="20"/>
              </w:rPr>
              <w:t>i</w:t>
            </w:r>
            <w:proofErr w:type="spellEnd"/>
            <w:r>
              <w:rPr>
                <w:rFonts w:ascii="Arial" w:eastAsia="Arial" w:hAnsi="Arial" w:cs="Arial"/>
                <w:sz w:val="20"/>
                <w:szCs w:val="20"/>
              </w:rPr>
              <w:t xml:space="preserve"> Driver</w:t>
            </w:r>
          </w:p>
        </w:tc>
        <w:tc>
          <w:tcPr>
            <w:tcW w:w="283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 Hourly Rate</w:t>
            </w:r>
          </w:p>
        </w:tc>
        <w:tc>
          <w:tcPr>
            <w:tcW w:w="7641" w:type="dxa"/>
          </w:tcPr>
          <w:p w:rsidR="00D72414" w:rsidRDefault="00D72414">
            <w:pPr>
              <w:rPr>
                <w:rFonts w:ascii="Arial" w:eastAsia="Arial" w:hAnsi="Arial" w:cs="Arial"/>
                <w:sz w:val="20"/>
                <w:szCs w:val="20"/>
              </w:rPr>
            </w:pPr>
          </w:p>
        </w:tc>
      </w:tr>
      <w:tr w:rsidR="00D72414">
        <w:tc>
          <w:tcPr>
            <w:tcW w:w="3553"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URN 8.0c ii Porter</w:t>
            </w:r>
          </w:p>
        </w:tc>
        <w:tc>
          <w:tcPr>
            <w:tcW w:w="2835"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 Hourly Rate</w:t>
            </w:r>
          </w:p>
        </w:tc>
        <w:tc>
          <w:tcPr>
            <w:tcW w:w="7641" w:type="dxa"/>
          </w:tcPr>
          <w:p w:rsidR="00D72414" w:rsidRDefault="00D72414">
            <w:pPr>
              <w:rPr>
                <w:rFonts w:ascii="Arial" w:eastAsia="Arial" w:hAnsi="Arial" w:cs="Arial"/>
                <w:sz w:val="20"/>
                <w:szCs w:val="20"/>
              </w:rPr>
            </w:pPr>
          </w:p>
        </w:tc>
      </w:tr>
      <w:tr w:rsidR="00D72414">
        <w:tc>
          <w:tcPr>
            <w:tcW w:w="3553"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 xml:space="preserve">URN 8.0d Vehicle Charges </w:t>
            </w:r>
          </w:p>
        </w:tc>
        <w:tc>
          <w:tcPr>
            <w:tcW w:w="2835" w:type="dxa"/>
            <w:shd w:val="clear" w:color="auto" w:fill="D0CECE"/>
          </w:tcPr>
          <w:p w:rsidR="00D72414" w:rsidRDefault="00D72414">
            <w:pPr>
              <w:spacing w:before="240"/>
              <w:jc w:val="both"/>
              <w:rPr>
                <w:rFonts w:ascii="Arial" w:eastAsia="Arial" w:hAnsi="Arial" w:cs="Arial"/>
                <w:b/>
                <w:sz w:val="20"/>
                <w:szCs w:val="20"/>
              </w:rPr>
            </w:pPr>
          </w:p>
        </w:tc>
        <w:tc>
          <w:tcPr>
            <w:tcW w:w="7641"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 xml:space="preserve">Where the Supplier requires the use of a vehicle (either </w:t>
            </w:r>
            <w:proofErr w:type="spellStart"/>
            <w:proofErr w:type="gramStart"/>
            <w:r>
              <w:rPr>
                <w:rFonts w:ascii="Arial" w:eastAsia="Arial" w:hAnsi="Arial" w:cs="Arial"/>
                <w:sz w:val="20"/>
                <w:szCs w:val="20"/>
              </w:rPr>
              <w:t>it’s</w:t>
            </w:r>
            <w:proofErr w:type="spellEnd"/>
            <w:proofErr w:type="gramEnd"/>
            <w:r>
              <w:rPr>
                <w:rFonts w:ascii="Arial" w:eastAsia="Arial" w:hAnsi="Arial" w:cs="Arial"/>
                <w:sz w:val="20"/>
                <w:szCs w:val="20"/>
              </w:rPr>
              <w:t xml:space="preserve"> own or if necessary hired), the vehicle used by the Supplier must be fit for purpose, roadworthy, suitably tested and insured, and driven and operated by a suitably licensed and qualified person, in an environmentally friendly manner. </w:t>
            </w:r>
          </w:p>
          <w:p w:rsidR="00D72414" w:rsidRDefault="00C0362E">
            <w:pPr>
              <w:spacing w:before="240"/>
              <w:jc w:val="both"/>
              <w:rPr>
                <w:rFonts w:ascii="Arial" w:eastAsia="Arial" w:hAnsi="Arial" w:cs="Arial"/>
                <w:sz w:val="20"/>
                <w:szCs w:val="20"/>
              </w:rPr>
            </w:pPr>
            <w:r>
              <w:rPr>
                <w:rFonts w:ascii="Arial" w:eastAsia="Arial" w:hAnsi="Arial" w:cs="Arial"/>
                <w:sz w:val="20"/>
                <w:szCs w:val="20"/>
              </w:rPr>
              <w:t xml:space="preserve">The Supplier must use a vehicle with appropriate capacity to meet the relevant load size requirement. </w:t>
            </w:r>
          </w:p>
          <w:p w:rsidR="00D72414" w:rsidRDefault="00C0362E">
            <w:pPr>
              <w:spacing w:before="240"/>
              <w:jc w:val="both"/>
              <w:rPr>
                <w:rFonts w:ascii="Arial" w:eastAsia="Arial" w:hAnsi="Arial" w:cs="Arial"/>
                <w:sz w:val="20"/>
                <w:szCs w:val="20"/>
              </w:rPr>
            </w:pPr>
            <w:r>
              <w:rPr>
                <w:rFonts w:ascii="Arial" w:eastAsia="Arial" w:hAnsi="Arial" w:cs="Arial"/>
                <w:sz w:val="20"/>
                <w:szCs w:val="20"/>
              </w:rPr>
              <w:t>Vehicle Charges shall be based on an Hourly Rate and rounded to the nearest hour for vehicles owned by the Supplier.</w:t>
            </w:r>
          </w:p>
          <w:p w:rsidR="00D72414" w:rsidRDefault="00C0362E">
            <w:pPr>
              <w:spacing w:before="240"/>
              <w:jc w:val="both"/>
              <w:rPr>
                <w:rFonts w:ascii="Arial" w:eastAsia="Arial" w:hAnsi="Arial" w:cs="Arial"/>
                <w:sz w:val="20"/>
                <w:szCs w:val="20"/>
              </w:rPr>
            </w:pPr>
            <w:r>
              <w:rPr>
                <w:rFonts w:ascii="Arial" w:eastAsia="Arial" w:hAnsi="Arial" w:cs="Arial"/>
                <w:sz w:val="20"/>
                <w:szCs w:val="20"/>
              </w:rPr>
              <w:t xml:space="preserve">Where a vehicle used by the Supplier is hired, the vehicle Charge will be a Pass-Through Charge only and the Supplier must provide evidence of the costs incurred to the Buyer </w:t>
            </w:r>
          </w:p>
          <w:p w:rsidR="00D72414" w:rsidRDefault="00C0362E">
            <w:pPr>
              <w:spacing w:before="240"/>
              <w:jc w:val="both"/>
              <w:rPr>
                <w:rFonts w:ascii="Arial" w:eastAsia="Arial" w:hAnsi="Arial" w:cs="Arial"/>
                <w:sz w:val="20"/>
                <w:szCs w:val="20"/>
              </w:rPr>
            </w:pPr>
            <w:r>
              <w:rPr>
                <w:rFonts w:ascii="Arial" w:eastAsia="Arial" w:hAnsi="Arial" w:cs="Arial"/>
                <w:sz w:val="20"/>
                <w:szCs w:val="20"/>
              </w:rPr>
              <w:t xml:space="preserve">It is expected that any vehicle that the Supplier hires will be collected and dropped off within a five (5) mile radius of the Supplier’s named premises, unless Approved by the Buyer. The Supplier is not entitled to nor is the Buyer liable for any labour or other Charges relating to the collection and return of any vehicle outside of a five (5) mile radius of the Supplier’s named premises, unless Approved by the Buyer.  </w:t>
            </w:r>
          </w:p>
          <w:p w:rsidR="00D72414" w:rsidRDefault="00D72414">
            <w:pPr>
              <w:spacing w:before="240"/>
              <w:jc w:val="both"/>
              <w:rPr>
                <w:rFonts w:ascii="Arial" w:eastAsia="Arial" w:hAnsi="Arial" w:cs="Arial"/>
                <w:sz w:val="20"/>
                <w:szCs w:val="20"/>
              </w:rPr>
            </w:pPr>
          </w:p>
        </w:tc>
      </w:tr>
      <w:tr w:rsidR="00D72414">
        <w:tc>
          <w:tcPr>
            <w:tcW w:w="3553"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lastRenderedPageBreak/>
              <w:t xml:space="preserve">URN 8.0d </w:t>
            </w:r>
            <w:proofErr w:type="spellStart"/>
            <w:r>
              <w:rPr>
                <w:rFonts w:ascii="Arial" w:eastAsia="Arial" w:hAnsi="Arial" w:cs="Arial"/>
                <w:sz w:val="20"/>
                <w:szCs w:val="20"/>
              </w:rPr>
              <w:t>i</w:t>
            </w:r>
            <w:proofErr w:type="spellEnd"/>
          </w:p>
        </w:tc>
        <w:tc>
          <w:tcPr>
            <w:tcW w:w="283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 xml:space="preserve">Van - approximately 3 tonne </w:t>
            </w:r>
            <w:proofErr w:type="gramStart"/>
            <w:r>
              <w:rPr>
                <w:rFonts w:ascii="Arial" w:eastAsia="Arial" w:hAnsi="Arial" w:cs="Arial"/>
                <w:b/>
                <w:sz w:val="20"/>
                <w:szCs w:val="20"/>
              </w:rPr>
              <w:t>load</w:t>
            </w:r>
            <w:proofErr w:type="gramEnd"/>
          </w:p>
        </w:tc>
        <w:tc>
          <w:tcPr>
            <w:tcW w:w="7641" w:type="dxa"/>
          </w:tcPr>
          <w:p w:rsidR="00D72414" w:rsidRDefault="00D72414">
            <w:pPr>
              <w:spacing w:before="240"/>
              <w:jc w:val="both"/>
              <w:rPr>
                <w:rFonts w:ascii="Arial" w:eastAsia="Arial" w:hAnsi="Arial" w:cs="Arial"/>
                <w:b/>
                <w:sz w:val="20"/>
                <w:szCs w:val="20"/>
              </w:rPr>
            </w:pPr>
          </w:p>
        </w:tc>
      </w:tr>
      <w:tr w:rsidR="00D72414">
        <w:tc>
          <w:tcPr>
            <w:tcW w:w="3553"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URN 8.0d ii</w:t>
            </w:r>
          </w:p>
        </w:tc>
        <w:tc>
          <w:tcPr>
            <w:tcW w:w="283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 xml:space="preserve">Box Van – approximately 7 tonne </w:t>
            </w:r>
            <w:proofErr w:type="gramStart"/>
            <w:r>
              <w:rPr>
                <w:rFonts w:ascii="Arial" w:eastAsia="Arial" w:hAnsi="Arial" w:cs="Arial"/>
                <w:b/>
                <w:sz w:val="20"/>
                <w:szCs w:val="20"/>
              </w:rPr>
              <w:t>load</w:t>
            </w:r>
            <w:proofErr w:type="gramEnd"/>
          </w:p>
        </w:tc>
        <w:tc>
          <w:tcPr>
            <w:tcW w:w="7641" w:type="dxa"/>
          </w:tcPr>
          <w:p w:rsidR="00D72414" w:rsidRDefault="00D72414">
            <w:pPr>
              <w:spacing w:before="240"/>
              <w:jc w:val="both"/>
              <w:rPr>
                <w:rFonts w:ascii="Arial" w:eastAsia="Arial" w:hAnsi="Arial" w:cs="Arial"/>
                <w:b/>
                <w:sz w:val="20"/>
                <w:szCs w:val="20"/>
              </w:rPr>
            </w:pPr>
          </w:p>
        </w:tc>
      </w:tr>
      <w:tr w:rsidR="00D72414">
        <w:tc>
          <w:tcPr>
            <w:tcW w:w="3553"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URN 8.0d iii</w:t>
            </w:r>
          </w:p>
        </w:tc>
        <w:tc>
          <w:tcPr>
            <w:tcW w:w="283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 xml:space="preserve">Truck – approximately 18 tonne </w:t>
            </w:r>
            <w:proofErr w:type="gramStart"/>
            <w:r>
              <w:rPr>
                <w:rFonts w:ascii="Arial" w:eastAsia="Arial" w:hAnsi="Arial" w:cs="Arial"/>
                <w:b/>
                <w:sz w:val="20"/>
                <w:szCs w:val="20"/>
              </w:rPr>
              <w:t>load</w:t>
            </w:r>
            <w:proofErr w:type="gramEnd"/>
          </w:p>
        </w:tc>
        <w:tc>
          <w:tcPr>
            <w:tcW w:w="7641" w:type="dxa"/>
          </w:tcPr>
          <w:p w:rsidR="00D72414" w:rsidRDefault="00D72414">
            <w:pPr>
              <w:spacing w:before="240"/>
              <w:jc w:val="both"/>
              <w:rPr>
                <w:rFonts w:ascii="Arial" w:eastAsia="Arial" w:hAnsi="Arial" w:cs="Arial"/>
                <w:b/>
                <w:sz w:val="20"/>
                <w:szCs w:val="20"/>
              </w:rPr>
            </w:pPr>
          </w:p>
        </w:tc>
      </w:tr>
      <w:tr w:rsidR="00D72414">
        <w:tc>
          <w:tcPr>
            <w:tcW w:w="3553"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URN 8.0d iv</w:t>
            </w:r>
          </w:p>
        </w:tc>
        <w:tc>
          <w:tcPr>
            <w:tcW w:w="283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Low loader</w:t>
            </w:r>
          </w:p>
        </w:tc>
        <w:tc>
          <w:tcPr>
            <w:tcW w:w="7641" w:type="dxa"/>
          </w:tcPr>
          <w:p w:rsidR="00D72414" w:rsidRDefault="00D72414">
            <w:pPr>
              <w:spacing w:before="240"/>
              <w:jc w:val="both"/>
              <w:rPr>
                <w:rFonts w:ascii="Arial" w:eastAsia="Arial" w:hAnsi="Arial" w:cs="Arial"/>
                <w:b/>
                <w:sz w:val="20"/>
                <w:szCs w:val="20"/>
              </w:rPr>
            </w:pPr>
          </w:p>
        </w:tc>
      </w:tr>
      <w:tr w:rsidR="00D72414">
        <w:tc>
          <w:tcPr>
            <w:tcW w:w="3553"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URN 8.0d v</w:t>
            </w:r>
          </w:p>
        </w:tc>
        <w:tc>
          <w:tcPr>
            <w:tcW w:w="283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Low loader with lifting gear</w:t>
            </w:r>
          </w:p>
        </w:tc>
        <w:tc>
          <w:tcPr>
            <w:tcW w:w="7641" w:type="dxa"/>
          </w:tcPr>
          <w:p w:rsidR="00D72414" w:rsidRDefault="00D72414">
            <w:pPr>
              <w:spacing w:before="240"/>
              <w:jc w:val="both"/>
              <w:rPr>
                <w:rFonts w:ascii="Arial" w:eastAsia="Arial" w:hAnsi="Arial" w:cs="Arial"/>
                <w:b/>
                <w:sz w:val="20"/>
                <w:szCs w:val="20"/>
              </w:rPr>
            </w:pPr>
          </w:p>
        </w:tc>
      </w:tr>
      <w:tr w:rsidR="00D72414">
        <w:tc>
          <w:tcPr>
            <w:tcW w:w="3553" w:type="dxa"/>
          </w:tcPr>
          <w:p w:rsidR="00D72414" w:rsidRDefault="00C0362E">
            <w:pPr>
              <w:spacing w:before="240"/>
              <w:jc w:val="both"/>
              <w:rPr>
                <w:rFonts w:ascii="Arial" w:eastAsia="Arial" w:hAnsi="Arial" w:cs="Arial"/>
                <w:b/>
                <w:sz w:val="20"/>
                <w:szCs w:val="20"/>
              </w:rPr>
            </w:pPr>
            <w:r>
              <w:rPr>
                <w:rFonts w:ascii="Arial" w:eastAsia="Arial" w:hAnsi="Arial" w:cs="Arial"/>
                <w:sz w:val="20"/>
                <w:szCs w:val="20"/>
              </w:rPr>
              <w:t>URN 8.0e Storage Charges (capped at 14 days)</w:t>
            </w:r>
          </w:p>
        </w:tc>
        <w:tc>
          <w:tcPr>
            <w:tcW w:w="283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 Per day</w:t>
            </w:r>
          </w:p>
        </w:tc>
        <w:tc>
          <w:tcPr>
            <w:tcW w:w="7641" w:type="dxa"/>
          </w:tcPr>
          <w:p w:rsidR="00D72414" w:rsidRDefault="00D72414">
            <w:pPr>
              <w:spacing w:before="240"/>
              <w:jc w:val="both"/>
              <w:rPr>
                <w:rFonts w:ascii="Arial" w:eastAsia="Arial" w:hAnsi="Arial" w:cs="Arial"/>
                <w:b/>
                <w:sz w:val="20"/>
                <w:szCs w:val="20"/>
              </w:rPr>
            </w:pPr>
          </w:p>
        </w:tc>
      </w:tr>
      <w:tr w:rsidR="00D72414">
        <w:tc>
          <w:tcPr>
            <w:tcW w:w="3553"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 xml:space="preserve">URN 8.0f Advertising Charges </w:t>
            </w:r>
          </w:p>
        </w:tc>
        <w:tc>
          <w:tcPr>
            <w:tcW w:w="2835" w:type="dxa"/>
          </w:tcPr>
          <w:p w:rsidR="00D72414" w:rsidRDefault="00D72414">
            <w:pPr>
              <w:spacing w:before="240"/>
              <w:jc w:val="both"/>
              <w:rPr>
                <w:rFonts w:ascii="Arial" w:eastAsia="Arial" w:hAnsi="Arial" w:cs="Arial"/>
                <w:b/>
                <w:sz w:val="20"/>
                <w:szCs w:val="20"/>
              </w:rPr>
            </w:pPr>
          </w:p>
        </w:tc>
        <w:tc>
          <w:tcPr>
            <w:tcW w:w="7641" w:type="dxa"/>
          </w:tcPr>
          <w:p w:rsidR="00D72414" w:rsidRDefault="00D72414">
            <w:pPr>
              <w:spacing w:before="240"/>
              <w:jc w:val="both"/>
              <w:rPr>
                <w:rFonts w:ascii="Arial" w:eastAsia="Arial" w:hAnsi="Arial" w:cs="Arial"/>
                <w:b/>
                <w:sz w:val="20"/>
                <w:szCs w:val="20"/>
              </w:rPr>
            </w:pPr>
          </w:p>
        </w:tc>
      </w:tr>
      <w:tr w:rsidR="00D72414">
        <w:tc>
          <w:tcPr>
            <w:tcW w:w="3553"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 xml:space="preserve">URN 8.0g Other Charges (Please Detail) </w:t>
            </w:r>
          </w:p>
        </w:tc>
        <w:tc>
          <w:tcPr>
            <w:tcW w:w="2835" w:type="dxa"/>
          </w:tcPr>
          <w:p w:rsidR="00D72414" w:rsidRDefault="00D72414">
            <w:pPr>
              <w:spacing w:before="240"/>
              <w:jc w:val="both"/>
              <w:rPr>
                <w:rFonts w:ascii="Arial" w:eastAsia="Arial" w:hAnsi="Arial" w:cs="Arial"/>
                <w:b/>
                <w:sz w:val="20"/>
                <w:szCs w:val="20"/>
              </w:rPr>
            </w:pPr>
          </w:p>
        </w:tc>
        <w:tc>
          <w:tcPr>
            <w:tcW w:w="7641" w:type="dxa"/>
          </w:tcPr>
          <w:p w:rsidR="00D72414" w:rsidRDefault="00D72414">
            <w:pPr>
              <w:spacing w:before="240"/>
              <w:jc w:val="both"/>
              <w:rPr>
                <w:rFonts w:ascii="Arial" w:eastAsia="Arial" w:hAnsi="Arial" w:cs="Arial"/>
                <w:b/>
                <w:sz w:val="20"/>
                <w:szCs w:val="20"/>
              </w:rPr>
            </w:pPr>
          </w:p>
        </w:tc>
      </w:tr>
      <w:tr w:rsidR="00D72414">
        <w:tc>
          <w:tcPr>
            <w:tcW w:w="3553" w:type="dxa"/>
            <w:shd w:val="clear" w:color="auto" w:fill="BFBFBF"/>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Table 2</w:t>
            </w:r>
          </w:p>
        </w:tc>
        <w:tc>
          <w:tcPr>
            <w:tcW w:w="2835" w:type="dxa"/>
            <w:shd w:val="clear" w:color="auto" w:fill="BFBFBF"/>
          </w:tcPr>
          <w:p w:rsidR="00D72414" w:rsidRDefault="00D72414">
            <w:pPr>
              <w:spacing w:before="240"/>
              <w:jc w:val="both"/>
              <w:rPr>
                <w:rFonts w:ascii="Arial" w:eastAsia="Arial" w:hAnsi="Arial" w:cs="Arial"/>
                <w:b/>
                <w:sz w:val="20"/>
                <w:szCs w:val="20"/>
              </w:rPr>
            </w:pPr>
          </w:p>
        </w:tc>
        <w:tc>
          <w:tcPr>
            <w:tcW w:w="7641" w:type="dxa"/>
            <w:shd w:val="clear" w:color="auto" w:fill="BFBFBF"/>
          </w:tcPr>
          <w:p w:rsidR="00D72414" w:rsidRDefault="00D72414">
            <w:pPr>
              <w:spacing w:before="240"/>
              <w:jc w:val="both"/>
              <w:rPr>
                <w:rFonts w:ascii="Arial" w:eastAsia="Arial" w:hAnsi="Arial" w:cs="Arial"/>
                <w:b/>
                <w:sz w:val="20"/>
                <w:szCs w:val="20"/>
              </w:rPr>
            </w:pPr>
          </w:p>
        </w:tc>
      </w:tr>
      <w:tr w:rsidR="00D72414">
        <w:tc>
          <w:tcPr>
            <w:tcW w:w="3553"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Activity Type</w:t>
            </w:r>
          </w:p>
        </w:tc>
        <w:tc>
          <w:tcPr>
            <w:tcW w:w="283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 xml:space="preserve">Price % of Gross Sale Value Realised </w:t>
            </w:r>
          </w:p>
        </w:tc>
        <w:tc>
          <w:tcPr>
            <w:tcW w:w="7641" w:type="dxa"/>
          </w:tcPr>
          <w:p w:rsidR="00D72414" w:rsidRDefault="00D72414">
            <w:pPr>
              <w:spacing w:before="240"/>
              <w:jc w:val="both"/>
              <w:rPr>
                <w:rFonts w:ascii="Arial" w:eastAsia="Arial" w:hAnsi="Arial" w:cs="Arial"/>
                <w:b/>
                <w:sz w:val="20"/>
                <w:szCs w:val="20"/>
              </w:rPr>
            </w:pPr>
          </w:p>
        </w:tc>
      </w:tr>
      <w:tr w:rsidR="00D72414">
        <w:tc>
          <w:tcPr>
            <w:tcW w:w="3553"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URN 8.0h Sale at Customer’s Premises</w:t>
            </w:r>
          </w:p>
        </w:tc>
        <w:tc>
          <w:tcPr>
            <w:tcW w:w="283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w:t>
            </w:r>
          </w:p>
        </w:tc>
        <w:tc>
          <w:tcPr>
            <w:tcW w:w="7641" w:type="dxa"/>
          </w:tcPr>
          <w:p w:rsidR="00D72414" w:rsidRDefault="00D72414">
            <w:pPr>
              <w:spacing w:before="240"/>
              <w:jc w:val="both"/>
              <w:rPr>
                <w:rFonts w:ascii="Arial" w:eastAsia="Arial" w:hAnsi="Arial" w:cs="Arial"/>
                <w:b/>
                <w:sz w:val="20"/>
                <w:szCs w:val="20"/>
              </w:rPr>
            </w:pPr>
          </w:p>
        </w:tc>
      </w:tr>
      <w:tr w:rsidR="00D72414">
        <w:tc>
          <w:tcPr>
            <w:tcW w:w="3553"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URN 8.0i Sale at Supplier’s Premises</w:t>
            </w:r>
          </w:p>
        </w:tc>
        <w:tc>
          <w:tcPr>
            <w:tcW w:w="283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w:t>
            </w:r>
          </w:p>
        </w:tc>
        <w:tc>
          <w:tcPr>
            <w:tcW w:w="7641" w:type="dxa"/>
          </w:tcPr>
          <w:p w:rsidR="00D72414" w:rsidRDefault="00D72414">
            <w:pPr>
              <w:spacing w:before="240"/>
              <w:jc w:val="both"/>
              <w:rPr>
                <w:rFonts w:ascii="Arial" w:eastAsia="Arial" w:hAnsi="Arial" w:cs="Arial"/>
                <w:b/>
                <w:sz w:val="20"/>
                <w:szCs w:val="20"/>
              </w:rPr>
            </w:pPr>
          </w:p>
        </w:tc>
      </w:tr>
      <w:tr w:rsidR="00D72414">
        <w:tc>
          <w:tcPr>
            <w:tcW w:w="3553"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URN 8.0j On-line Assets Sale only</w:t>
            </w:r>
          </w:p>
        </w:tc>
        <w:tc>
          <w:tcPr>
            <w:tcW w:w="283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w:t>
            </w:r>
          </w:p>
        </w:tc>
        <w:tc>
          <w:tcPr>
            <w:tcW w:w="7641"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This Price must be inclusive of any other Prices that are not already covered in this Rate Card</w:t>
            </w:r>
          </w:p>
        </w:tc>
      </w:tr>
    </w:tbl>
    <w:p w:rsidR="00D72414" w:rsidRDefault="00D72414">
      <w:pPr>
        <w:pBdr>
          <w:top w:val="nil"/>
          <w:left w:val="nil"/>
          <w:bottom w:val="nil"/>
          <w:right w:val="nil"/>
          <w:between w:val="nil"/>
        </w:pBdr>
        <w:spacing w:before="240"/>
        <w:jc w:val="both"/>
        <w:rPr>
          <w:rFonts w:ascii="Arial" w:eastAsia="Arial" w:hAnsi="Arial" w:cs="Arial"/>
          <w:b/>
          <w:color w:val="000000"/>
          <w:sz w:val="20"/>
          <w:szCs w:val="20"/>
        </w:rPr>
      </w:pPr>
    </w:p>
    <w:p w:rsidR="00D72414" w:rsidRDefault="00C0362E">
      <w:pPr>
        <w:pBdr>
          <w:top w:val="nil"/>
          <w:left w:val="nil"/>
          <w:bottom w:val="nil"/>
          <w:right w:val="nil"/>
          <w:between w:val="nil"/>
        </w:pBdr>
        <w:spacing w:before="240"/>
        <w:jc w:val="both"/>
        <w:rPr>
          <w:rFonts w:ascii="Arial" w:eastAsia="Arial" w:hAnsi="Arial" w:cs="Arial"/>
          <w:b/>
          <w:color w:val="000000"/>
          <w:sz w:val="22"/>
          <w:szCs w:val="22"/>
        </w:rPr>
      </w:pPr>
      <w:r>
        <w:rPr>
          <w:rFonts w:ascii="Arial" w:eastAsia="Arial" w:hAnsi="Arial" w:cs="Arial"/>
          <w:b/>
          <w:color w:val="000000"/>
          <w:sz w:val="22"/>
          <w:szCs w:val="22"/>
        </w:rPr>
        <w:t>PART J</w:t>
      </w:r>
    </w:p>
    <w:p w:rsidR="00D72414" w:rsidRDefault="00C0362E">
      <w:pPr>
        <w:keepNext/>
        <w:numPr>
          <w:ilvl w:val="0"/>
          <w:numId w:val="29"/>
        </w:numPr>
        <w:pBdr>
          <w:top w:val="nil"/>
          <w:left w:val="nil"/>
          <w:bottom w:val="nil"/>
          <w:right w:val="nil"/>
          <w:between w:val="nil"/>
        </w:pBdr>
        <w:spacing w:before="240"/>
        <w:jc w:val="both"/>
        <w:rPr>
          <w:rFonts w:ascii="Arial" w:eastAsia="Arial" w:hAnsi="Arial" w:cs="Arial"/>
          <w:b/>
          <w:color w:val="000000"/>
          <w:sz w:val="20"/>
          <w:szCs w:val="20"/>
          <w:u w:val="single"/>
        </w:rPr>
      </w:pPr>
      <w:r>
        <w:rPr>
          <w:rFonts w:ascii="Arial" w:eastAsia="Arial" w:hAnsi="Arial" w:cs="Arial"/>
          <w:b/>
          <w:color w:val="000000"/>
          <w:sz w:val="20"/>
          <w:szCs w:val="20"/>
          <w:u w:val="single"/>
        </w:rPr>
        <w:t xml:space="preserve">Part J: Process Servers </w:t>
      </w:r>
    </w:p>
    <w:p w:rsidR="00D72414" w:rsidRDefault="00C0362E">
      <w:pPr>
        <w:numPr>
          <w:ilvl w:val="1"/>
          <w:numId w:val="29"/>
        </w:numPr>
        <w:pBdr>
          <w:top w:val="nil"/>
          <w:left w:val="nil"/>
          <w:bottom w:val="nil"/>
          <w:right w:val="nil"/>
          <w:between w:val="nil"/>
        </w:pBdr>
        <w:spacing w:before="240"/>
        <w:jc w:val="both"/>
        <w:rPr>
          <w:rFonts w:ascii="Arial" w:eastAsia="Arial" w:hAnsi="Arial" w:cs="Arial"/>
          <w:color w:val="000000"/>
          <w:sz w:val="20"/>
          <w:szCs w:val="20"/>
        </w:rPr>
      </w:pPr>
      <w:r>
        <w:rPr>
          <w:rFonts w:ascii="Arial" w:eastAsia="Arial" w:hAnsi="Arial" w:cs="Arial"/>
          <w:color w:val="000000"/>
          <w:sz w:val="20"/>
          <w:szCs w:val="20"/>
        </w:rPr>
        <w:t>The Charges for this Service shall be calculated on a Unit Price basis as set out within Table 1 below.</w:t>
      </w:r>
    </w:p>
    <w:p w:rsidR="00D72414" w:rsidRDefault="00C0362E">
      <w:pPr>
        <w:numPr>
          <w:ilvl w:val="1"/>
          <w:numId w:val="29"/>
        </w:numPr>
        <w:pBdr>
          <w:top w:val="nil"/>
          <w:left w:val="nil"/>
          <w:bottom w:val="nil"/>
          <w:right w:val="nil"/>
          <w:between w:val="nil"/>
        </w:pBdr>
        <w:spacing w:before="240"/>
        <w:jc w:val="both"/>
        <w:rPr>
          <w:rFonts w:ascii="Arial" w:eastAsia="Arial" w:hAnsi="Arial" w:cs="Arial"/>
          <w:color w:val="000000"/>
          <w:sz w:val="20"/>
          <w:szCs w:val="20"/>
        </w:rPr>
      </w:pPr>
      <w:r>
        <w:rPr>
          <w:rFonts w:ascii="Arial" w:eastAsia="Arial" w:hAnsi="Arial" w:cs="Arial"/>
          <w:color w:val="000000"/>
          <w:sz w:val="20"/>
          <w:szCs w:val="20"/>
        </w:rPr>
        <w:t xml:space="preserve">The Supplier and Buyer will agree any Set-Up Charge on an Open Book Costs Basis as part of the Call-Off Contract. </w:t>
      </w:r>
    </w:p>
    <w:p w:rsidR="00D72414" w:rsidRDefault="00C0362E">
      <w:pPr>
        <w:numPr>
          <w:ilvl w:val="1"/>
          <w:numId w:val="29"/>
        </w:numPr>
        <w:pBdr>
          <w:top w:val="nil"/>
          <w:left w:val="nil"/>
          <w:bottom w:val="nil"/>
          <w:right w:val="nil"/>
          <w:between w:val="nil"/>
        </w:pBdr>
        <w:spacing w:before="240"/>
        <w:jc w:val="both"/>
        <w:rPr>
          <w:rFonts w:ascii="Arial" w:eastAsia="Arial" w:hAnsi="Arial" w:cs="Arial"/>
          <w:color w:val="000000"/>
          <w:sz w:val="20"/>
          <w:szCs w:val="20"/>
        </w:rPr>
      </w:pPr>
      <w:r>
        <w:rPr>
          <w:rFonts w:ascii="Arial" w:eastAsia="Arial" w:hAnsi="Arial" w:cs="Arial"/>
          <w:color w:val="000000"/>
          <w:sz w:val="20"/>
          <w:szCs w:val="20"/>
        </w:rPr>
        <w:t>The Supplier is not entitled to submit an invoice or any Charges if they have been unsuccessful in the service of any documents.</w:t>
      </w:r>
    </w:p>
    <w:p w:rsidR="00D72414" w:rsidRDefault="00C0362E">
      <w:p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b/>
          <w:color w:val="000000"/>
          <w:sz w:val="20"/>
          <w:szCs w:val="20"/>
        </w:rPr>
        <w:t>Table 1</w:t>
      </w:r>
    </w:p>
    <w:p w:rsidR="00D72414" w:rsidRDefault="00D72414">
      <w:pPr>
        <w:pBdr>
          <w:top w:val="nil"/>
          <w:left w:val="nil"/>
          <w:bottom w:val="nil"/>
          <w:right w:val="nil"/>
          <w:between w:val="nil"/>
        </w:pBdr>
        <w:spacing w:before="240"/>
        <w:jc w:val="both"/>
        <w:rPr>
          <w:rFonts w:ascii="Arial" w:eastAsia="Arial" w:hAnsi="Arial" w:cs="Arial"/>
          <w:b/>
          <w:color w:val="000000"/>
          <w:sz w:val="20"/>
          <w:szCs w:val="20"/>
        </w:rPr>
      </w:pPr>
    </w:p>
    <w:tbl>
      <w:tblPr>
        <w:tblStyle w:val="affffc"/>
        <w:tblW w:w="901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4505"/>
        <w:gridCol w:w="4505"/>
      </w:tblGrid>
      <w:tr w:rsidR="00D72414">
        <w:tc>
          <w:tcPr>
            <w:tcW w:w="450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URN 14.0 Activity Type</w:t>
            </w:r>
          </w:p>
        </w:tc>
        <w:tc>
          <w:tcPr>
            <w:tcW w:w="450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Unit Price £</w:t>
            </w:r>
          </w:p>
        </w:tc>
      </w:tr>
      <w:tr w:rsidR="00D72414">
        <w:tc>
          <w:tcPr>
            <w:tcW w:w="450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14.0a Successful personal or sub-service of a statutory demand</w:t>
            </w:r>
          </w:p>
        </w:tc>
        <w:tc>
          <w:tcPr>
            <w:tcW w:w="4505" w:type="dxa"/>
          </w:tcPr>
          <w:p w:rsidR="00D72414" w:rsidRDefault="00D72414">
            <w:pPr>
              <w:spacing w:before="240"/>
              <w:jc w:val="both"/>
              <w:rPr>
                <w:rFonts w:ascii="Arial" w:eastAsia="Arial" w:hAnsi="Arial" w:cs="Arial"/>
                <w:b/>
                <w:sz w:val="20"/>
                <w:szCs w:val="20"/>
              </w:rPr>
            </w:pPr>
          </w:p>
        </w:tc>
      </w:tr>
      <w:tr w:rsidR="00D72414">
        <w:tc>
          <w:tcPr>
            <w:tcW w:w="450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14.0b Successful personal or sub-service of an individual petition</w:t>
            </w:r>
          </w:p>
        </w:tc>
        <w:tc>
          <w:tcPr>
            <w:tcW w:w="4505" w:type="dxa"/>
          </w:tcPr>
          <w:p w:rsidR="00D72414" w:rsidRDefault="00D72414">
            <w:pPr>
              <w:spacing w:before="240"/>
              <w:jc w:val="both"/>
              <w:rPr>
                <w:rFonts w:ascii="Arial" w:eastAsia="Arial" w:hAnsi="Arial" w:cs="Arial"/>
                <w:b/>
                <w:sz w:val="20"/>
                <w:szCs w:val="20"/>
              </w:rPr>
            </w:pPr>
          </w:p>
        </w:tc>
      </w:tr>
      <w:tr w:rsidR="00D72414">
        <w:tc>
          <w:tcPr>
            <w:tcW w:w="450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14.0c Successful service of a company petition</w:t>
            </w:r>
          </w:p>
        </w:tc>
        <w:tc>
          <w:tcPr>
            <w:tcW w:w="4505" w:type="dxa"/>
          </w:tcPr>
          <w:p w:rsidR="00D72414" w:rsidRDefault="00D72414">
            <w:pPr>
              <w:spacing w:before="240"/>
              <w:jc w:val="both"/>
              <w:rPr>
                <w:rFonts w:ascii="Arial" w:eastAsia="Arial" w:hAnsi="Arial" w:cs="Arial"/>
                <w:b/>
                <w:sz w:val="20"/>
                <w:szCs w:val="20"/>
              </w:rPr>
            </w:pPr>
          </w:p>
        </w:tc>
      </w:tr>
      <w:tr w:rsidR="00D72414">
        <w:tc>
          <w:tcPr>
            <w:tcW w:w="450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14.0d Successful service of additional documents on the same visit to the same address</w:t>
            </w:r>
          </w:p>
        </w:tc>
        <w:tc>
          <w:tcPr>
            <w:tcW w:w="4505" w:type="dxa"/>
          </w:tcPr>
          <w:p w:rsidR="00D72414" w:rsidRDefault="00D72414">
            <w:pPr>
              <w:spacing w:before="240"/>
              <w:jc w:val="both"/>
              <w:rPr>
                <w:rFonts w:ascii="Arial" w:eastAsia="Arial" w:hAnsi="Arial" w:cs="Arial"/>
                <w:b/>
                <w:sz w:val="20"/>
                <w:szCs w:val="20"/>
              </w:rPr>
            </w:pPr>
          </w:p>
        </w:tc>
      </w:tr>
    </w:tbl>
    <w:p w:rsidR="00D72414" w:rsidRDefault="00D72414">
      <w:pPr>
        <w:pBdr>
          <w:top w:val="nil"/>
          <w:left w:val="nil"/>
          <w:bottom w:val="nil"/>
          <w:right w:val="nil"/>
          <w:between w:val="nil"/>
        </w:pBdr>
        <w:spacing w:before="240"/>
        <w:jc w:val="both"/>
        <w:rPr>
          <w:rFonts w:ascii="Arial" w:eastAsia="Arial" w:hAnsi="Arial" w:cs="Arial"/>
          <w:b/>
          <w:color w:val="000000"/>
          <w:sz w:val="20"/>
          <w:szCs w:val="20"/>
        </w:rPr>
      </w:pPr>
    </w:p>
    <w:p w:rsidR="00D72414" w:rsidRDefault="00C0362E">
      <w:p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b/>
          <w:color w:val="000000"/>
          <w:sz w:val="20"/>
          <w:szCs w:val="20"/>
        </w:rPr>
        <w:t>PART K</w:t>
      </w:r>
    </w:p>
    <w:p w:rsidR="00D72414" w:rsidRDefault="00C0362E">
      <w:pPr>
        <w:pBdr>
          <w:top w:val="nil"/>
          <w:left w:val="nil"/>
          <w:bottom w:val="nil"/>
          <w:right w:val="nil"/>
          <w:between w:val="nil"/>
        </w:pBdr>
        <w:spacing w:before="240"/>
        <w:jc w:val="both"/>
        <w:rPr>
          <w:rFonts w:ascii="Arial" w:eastAsia="Arial" w:hAnsi="Arial" w:cs="Arial"/>
          <w:b/>
          <w:color w:val="000000"/>
          <w:sz w:val="20"/>
          <w:szCs w:val="20"/>
          <w:u w:val="single"/>
        </w:rPr>
      </w:pPr>
      <w:r>
        <w:rPr>
          <w:rFonts w:ascii="Arial" w:eastAsia="Arial" w:hAnsi="Arial" w:cs="Arial"/>
          <w:b/>
          <w:color w:val="000000"/>
          <w:sz w:val="20"/>
          <w:szCs w:val="20"/>
          <w:u w:val="single"/>
        </w:rPr>
        <w:t>Part K: Spend Analysis and Recovery Services (SARS)</w:t>
      </w:r>
    </w:p>
    <w:p w:rsidR="00D72414" w:rsidRDefault="00C0362E">
      <w:pPr>
        <w:numPr>
          <w:ilvl w:val="0"/>
          <w:numId w:val="30"/>
        </w:num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b/>
          <w:color w:val="000000"/>
          <w:sz w:val="20"/>
          <w:szCs w:val="20"/>
        </w:rPr>
        <w:lastRenderedPageBreak/>
        <w:t>Commission Charges</w:t>
      </w:r>
    </w:p>
    <w:p w:rsidR="00D72414" w:rsidRDefault="00D72414">
      <w:pPr>
        <w:pBdr>
          <w:top w:val="nil"/>
          <w:left w:val="nil"/>
          <w:bottom w:val="nil"/>
          <w:right w:val="nil"/>
          <w:between w:val="nil"/>
        </w:pBdr>
        <w:ind w:left="360"/>
        <w:jc w:val="both"/>
        <w:rPr>
          <w:rFonts w:ascii="Arial" w:eastAsia="Arial" w:hAnsi="Arial" w:cs="Arial"/>
          <w:color w:val="000000"/>
          <w:sz w:val="20"/>
          <w:szCs w:val="20"/>
        </w:rPr>
      </w:pPr>
    </w:p>
    <w:p w:rsidR="00D72414" w:rsidRDefault="00C0362E">
      <w:pPr>
        <w:numPr>
          <w:ilvl w:val="1"/>
          <w:numId w:val="3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Charges for the Services shall be a Commission Price calculated as a percentage (%) of the gross Debts Collected by the Supplier as detailed within Table 1 below. </w:t>
      </w:r>
    </w:p>
    <w:p w:rsidR="00D72414" w:rsidRDefault="00C0362E">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rsidR="00D72414" w:rsidRDefault="00C0362E">
      <w:pPr>
        <w:numPr>
          <w:ilvl w:val="1"/>
          <w:numId w:val="3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may Charge Commission up to a maximum of the equivalent of 1 year’s future savings or prevented losses, that the Supplier has identified relating to the Service and that are Approved by the Buyer.</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D72414">
      <w:pPr>
        <w:pBdr>
          <w:top w:val="nil"/>
          <w:left w:val="nil"/>
          <w:bottom w:val="nil"/>
          <w:right w:val="nil"/>
          <w:between w:val="nil"/>
        </w:pBdr>
        <w:ind w:left="360"/>
        <w:jc w:val="both"/>
        <w:rPr>
          <w:rFonts w:ascii="Arial" w:eastAsia="Arial" w:hAnsi="Arial" w:cs="Arial"/>
          <w:color w:val="000000"/>
          <w:sz w:val="20"/>
          <w:szCs w:val="20"/>
        </w:rPr>
      </w:pPr>
    </w:p>
    <w:p w:rsidR="00D72414" w:rsidRDefault="00C0362E">
      <w:pPr>
        <w:numPr>
          <w:ilvl w:val="0"/>
          <w:numId w:val="30"/>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Alternative Charging</w:t>
      </w:r>
    </w:p>
    <w:p w:rsidR="00D72414" w:rsidRDefault="00D72414">
      <w:pPr>
        <w:pBdr>
          <w:top w:val="nil"/>
          <w:left w:val="nil"/>
          <w:bottom w:val="nil"/>
          <w:right w:val="nil"/>
          <w:between w:val="nil"/>
        </w:pBdr>
        <w:ind w:left="360"/>
        <w:jc w:val="both"/>
        <w:rPr>
          <w:rFonts w:ascii="Arial" w:eastAsia="Arial" w:hAnsi="Arial" w:cs="Arial"/>
          <w:color w:val="000000"/>
          <w:sz w:val="20"/>
          <w:szCs w:val="20"/>
        </w:rPr>
      </w:pPr>
    </w:p>
    <w:p w:rsidR="00D72414" w:rsidRDefault="00C0362E">
      <w:pPr>
        <w:numPr>
          <w:ilvl w:val="1"/>
          <w:numId w:val="3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Where any the following circumstances arise (2.1 a to c below), CCS and the Buyer may approve, that where it is not financially viable for the Supplier to use Commission Charges for the SARS Services, The Supplier may be granted permission in writing by the Buyer to use the Rate Card at Table 2 to calculate the Charges due on a Work Day rate basis.</w:t>
      </w:r>
    </w:p>
    <w:p w:rsidR="00D72414" w:rsidRDefault="00C0362E">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rsidR="00D72414" w:rsidRDefault="00C0362E">
      <w:pPr>
        <w:numPr>
          <w:ilvl w:val="0"/>
          <w:numId w:val="2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Secondary audits; If the Buyer has been audited in the last 2 years it may agree to a second audit,</w:t>
      </w:r>
    </w:p>
    <w:p w:rsidR="00D72414" w:rsidRDefault="00D72414">
      <w:pPr>
        <w:pBdr>
          <w:top w:val="nil"/>
          <w:left w:val="nil"/>
          <w:bottom w:val="nil"/>
          <w:right w:val="nil"/>
          <w:between w:val="nil"/>
        </w:pBdr>
        <w:ind w:left="720"/>
        <w:jc w:val="both"/>
        <w:rPr>
          <w:rFonts w:ascii="Arial" w:eastAsia="Arial" w:hAnsi="Arial" w:cs="Arial"/>
          <w:color w:val="000000"/>
          <w:sz w:val="20"/>
          <w:szCs w:val="20"/>
        </w:rPr>
      </w:pPr>
    </w:p>
    <w:p w:rsidR="00D72414" w:rsidRDefault="00C0362E">
      <w:pPr>
        <w:numPr>
          <w:ilvl w:val="0"/>
          <w:numId w:val="21"/>
        </w:numPr>
        <w:pBdr>
          <w:top w:val="nil"/>
          <w:left w:val="nil"/>
          <w:bottom w:val="nil"/>
          <w:right w:val="nil"/>
          <w:between w:val="nil"/>
        </w:pBdr>
        <w:spacing w:after="160"/>
        <w:rPr>
          <w:rFonts w:ascii="Arial" w:eastAsia="Arial" w:hAnsi="Arial" w:cs="Arial"/>
          <w:color w:val="000000"/>
          <w:sz w:val="20"/>
          <w:szCs w:val="20"/>
        </w:rPr>
      </w:pPr>
      <w:r>
        <w:rPr>
          <w:rFonts w:ascii="Arial" w:eastAsia="Arial" w:hAnsi="Arial" w:cs="Arial"/>
          <w:color w:val="000000"/>
          <w:sz w:val="20"/>
          <w:szCs w:val="20"/>
        </w:rPr>
        <w:t xml:space="preserve"> Annual audits; Where a Buyer requires and annual audit Service,</w:t>
      </w:r>
    </w:p>
    <w:p w:rsidR="00D72414" w:rsidRDefault="00C0362E">
      <w:pPr>
        <w:numPr>
          <w:ilvl w:val="0"/>
          <w:numId w:val="21"/>
        </w:numPr>
        <w:pBdr>
          <w:top w:val="nil"/>
          <w:left w:val="nil"/>
          <w:bottom w:val="nil"/>
          <w:right w:val="nil"/>
          <w:between w:val="nil"/>
        </w:pBdr>
        <w:spacing w:after="160"/>
        <w:rPr>
          <w:rFonts w:ascii="Arial" w:eastAsia="Arial" w:hAnsi="Arial" w:cs="Arial"/>
          <w:color w:val="000000"/>
          <w:sz w:val="20"/>
          <w:szCs w:val="20"/>
        </w:rPr>
      </w:pPr>
      <w:r>
        <w:rPr>
          <w:rFonts w:ascii="Arial" w:eastAsia="Arial" w:hAnsi="Arial" w:cs="Arial"/>
          <w:color w:val="000000"/>
          <w:sz w:val="20"/>
          <w:szCs w:val="20"/>
        </w:rPr>
        <w:t xml:space="preserve"> If the Buyer requires an audit for compliance and continuous improvement purposes only and does not expect that its annual expenditure could yield significant savings or Debt Collected,</w:t>
      </w:r>
    </w:p>
    <w:p w:rsidR="00D72414" w:rsidRDefault="00C0362E">
      <w:pPr>
        <w:numPr>
          <w:ilvl w:val="0"/>
          <w:numId w:val="21"/>
        </w:numPr>
        <w:pBdr>
          <w:top w:val="nil"/>
          <w:left w:val="nil"/>
          <w:bottom w:val="nil"/>
          <w:right w:val="nil"/>
          <w:between w:val="nil"/>
        </w:pBdr>
        <w:spacing w:after="160"/>
        <w:rPr>
          <w:rFonts w:ascii="Arial" w:eastAsia="Arial" w:hAnsi="Arial" w:cs="Arial"/>
          <w:color w:val="000000"/>
          <w:sz w:val="20"/>
          <w:szCs w:val="20"/>
        </w:rPr>
      </w:pPr>
      <w:r>
        <w:rPr>
          <w:rFonts w:ascii="Arial" w:eastAsia="Arial" w:hAnsi="Arial" w:cs="Arial"/>
          <w:color w:val="000000"/>
          <w:sz w:val="20"/>
          <w:szCs w:val="20"/>
        </w:rPr>
        <w:t>Targeted general contract compliance where a review is focused on specific contracts,</w:t>
      </w:r>
    </w:p>
    <w:p w:rsidR="00D72414" w:rsidRDefault="00C0362E">
      <w:pPr>
        <w:pBdr>
          <w:top w:val="nil"/>
          <w:left w:val="nil"/>
          <w:bottom w:val="nil"/>
          <w:right w:val="nil"/>
          <w:between w:val="nil"/>
        </w:pBdr>
        <w:spacing w:before="240"/>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rsidR="00D72414" w:rsidRDefault="00C0362E">
      <w:pPr>
        <w:numPr>
          <w:ilvl w:val="1"/>
          <w:numId w:val="3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Where Paragraph 2.1of this Part K (above) applies, the Supplier’s Charges shall not exceed £10,000 (exclusive of VAT and Reimbursable Expenses if applicable)</w:t>
      </w:r>
    </w:p>
    <w:p w:rsidR="00D72414" w:rsidRDefault="00C0362E">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rsidR="00D72414" w:rsidRDefault="00C0362E">
      <w:pPr>
        <w:numPr>
          <w:ilvl w:val="1"/>
          <w:numId w:val="3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Where Paragraph 2.1 of this Part K (above) applies, the Supplier shall revert to Charging a percentage (%) Commission (as per Paragraph 1.1 above) if they achieve recoveries of more £200,000 during the period agreed with the Buyer. For the avoidance of doubt, no Charges shall be payable by the Buyer based on the Rate Card prices in Table 2 in these circumstances. All Charges shall be calculated on a Commission basis and all invoices from the Supplier shall reflect these Commission Charges only.</w:t>
      </w:r>
    </w:p>
    <w:p w:rsidR="00D72414" w:rsidRDefault="00C0362E">
      <w:pPr>
        <w:pBdr>
          <w:top w:val="nil"/>
          <w:left w:val="nil"/>
          <w:bottom w:val="nil"/>
          <w:right w:val="nil"/>
          <w:between w:val="nil"/>
        </w:pBdr>
        <w:ind w:left="360"/>
        <w:jc w:val="both"/>
        <w:rPr>
          <w:rFonts w:ascii="Arial" w:eastAsia="Arial" w:hAnsi="Arial" w:cs="Arial"/>
          <w:color w:val="000000"/>
          <w:sz w:val="20"/>
          <w:szCs w:val="20"/>
        </w:rPr>
      </w:pPr>
      <w:r>
        <w:rPr>
          <w:rFonts w:ascii="Arial" w:eastAsia="Arial" w:hAnsi="Arial" w:cs="Arial"/>
          <w:color w:val="000000"/>
          <w:sz w:val="20"/>
          <w:szCs w:val="20"/>
        </w:rPr>
        <w:t xml:space="preserve"> </w:t>
      </w:r>
    </w:p>
    <w:p w:rsidR="00D72414" w:rsidRDefault="00C0362E">
      <w:pPr>
        <w:numPr>
          <w:ilvl w:val="0"/>
          <w:numId w:val="30"/>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For URN 17.0 Utilities Spend Recovery Review only, if it is Approved by the Buyer that a visit to a utilities supplier’s premises is required then the Supplier may Charge the Buyer a maximum of £17.50 for each necessary visit.</w:t>
      </w:r>
    </w:p>
    <w:p w:rsidR="00D72414" w:rsidRDefault="00D72414">
      <w:pPr>
        <w:pBdr>
          <w:top w:val="nil"/>
          <w:left w:val="nil"/>
          <w:bottom w:val="nil"/>
          <w:right w:val="nil"/>
          <w:between w:val="nil"/>
        </w:pBdr>
        <w:ind w:left="360"/>
        <w:jc w:val="both"/>
        <w:rPr>
          <w:rFonts w:ascii="Arial" w:eastAsia="Arial" w:hAnsi="Arial" w:cs="Arial"/>
          <w:color w:val="000000"/>
          <w:sz w:val="20"/>
          <w:szCs w:val="20"/>
        </w:rPr>
      </w:pPr>
    </w:p>
    <w:p w:rsidR="00D72414" w:rsidRDefault="00C0362E">
      <w:p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b/>
          <w:color w:val="000000"/>
          <w:sz w:val="20"/>
          <w:szCs w:val="20"/>
        </w:rPr>
        <w:t>Table 1 Commissionable Services</w:t>
      </w:r>
    </w:p>
    <w:p w:rsidR="00D72414" w:rsidRDefault="00D72414">
      <w:pPr>
        <w:pBdr>
          <w:top w:val="nil"/>
          <w:left w:val="nil"/>
          <w:bottom w:val="nil"/>
          <w:right w:val="nil"/>
          <w:between w:val="nil"/>
        </w:pBdr>
        <w:spacing w:before="240"/>
        <w:jc w:val="both"/>
        <w:rPr>
          <w:rFonts w:ascii="Arial" w:eastAsia="Arial" w:hAnsi="Arial" w:cs="Arial"/>
          <w:b/>
          <w:color w:val="000000"/>
          <w:sz w:val="20"/>
          <w:szCs w:val="20"/>
        </w:rPr>
      </w:pPr>
    </w:p>
    <w:tbl>
      <w:tblPr>
        <w:tblStyle w:val="affffd"/>
        <w:tblW w:w="10920" w:type="dxa"/>
        <w:tblInd w:w="-5"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3700"/>
        <w:gridCol w:w="1780"/>
        <w:gridCol w:w="1980"/>
        <w:gridCol w:w="1900"/>
        <w:gridCol w:w="1560"/>
      </w:tblGrid>
      <w:tr w:rsidR="00D72414">
        <w:trPr>
          <w:trHeight w:val="520"/>
        </w:trPr>
        <w:tc>
          <w:tcPr>
            <w:tcW w:w="3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xml:space="preserve">Service </w:t>
            </w:r>
          </w:p>
        </w:tc>
        <w:tc>
          <w:tcPr>
            <w:tcW w:w="1780" w:type="dxa"/>
            <w:tcBorders>
              <w:top w:val="single" w:sz="4" w:space="0" w:color="000000"/>
              <w:left w:val="nil"/>
              <w:bottom w:val="single" w:sz="4" w:space="0" w:color="000000"/>
              <w:right w:val="single" w:sz="4" w:space="0" w:color="000000"/>
            </w:tcBorders>
            <w:shd w:val="clear" w:color="auto" w:fill="auto"/>
          </w:tcPr>
          <w:p w:rsidR="00D72414" w:rsidRDefault="00C0362E">
            <w:pPr>
              <w:jc w:val="both"/>
              <w:rPr>
                <w:rFonts w:ascii="Arial" w:eastAsia="Arial" w:hAnsi="Arial" w:cs="Arial"/>
                <w:b/>
                <w:sz w:val="20"/>
                <w:szCs w:val="20"/>
              </w:rPr>
            </w:pPr>
            <w:r>
              <w:rPr>
                <w:rFonts w:ascii="Arial" w:eastAsia="Arial" w:hAnsi="Arial" w:cs="Arial"/>
                <w:b/>
                <w:sz w:val="20"/>
                <w:szCs w:val="20"/>
              </w:rPr>
              <w:t>Maximum % Commission Price</w:t>
            </w:r>
          </w:p>
        </w:tc>
        <w:tc>
          <w:tcPr>
            <w:tcW w:w="1980" w:type="dxa"/>
            <w:tcBorders>
              <w:top w:val="single" w:sz="4" w:space="0" w:color="000000"/>
              <w:left w:val="nil"/>
              <w:bottom w:val="single" w:sz="4" w:space="0" w:color="000000"/>
              <w:right w:val="single" w:sz="4" w:space="0" w:color="000000"/>
            </w:tcBorders>
            <w:shd w:val="clear" w:color="auto" w:fill="auto"/>
          </w:tcPr>
          <w:p w:rsidR="00D72414" w:rsidRDefault="00C0362E">
            <w:pPr>
              <w:jc w:val="both"/>
              <w:rPr>
                <w:rFonts w:ascii="Arial" w:eastAsia="Arial" w:hAnsi="Arial" w:cs="Arial"/>
                <w:b/>
                <w:sz w:val="20"/>
                <w:szCs w:val="20"/>
              </w:rPr>
            </w:pPr>
            <w:r>
              <w:rPr>
                <w:rFonts w:ascii="Arial" w:eastAsia="Arial" w:hAnsi="Arial" w:cs="Arial"/>
                <w:b/>
                <w:sz w:val="20"/>
                <w:szCs w:val="20"/>
              </w:rPr>
              <w:t>Maximum % Commission Price</w:t>
            </w:r>
          </w:p>
        </w:tc>
        <w:tc>
          <w:tcPr>
            <w:tcW w:w="1900" w:type="dxa"/>
            <w:tcBorders>
              <w:top w:val="single" w:sz="4" w:space="0" w:color="000000"/>
              <w:left w:val="nil"/>
              <w:bottom w:val="single" w:sz="4" w:space="0" w:color="000000"/>
              <w:right w:val="single" w:sz="4" w:space="0" w:color="000000"/>
            </w:tcBorders>
            <w:shd w:val="clear" w:color="auto" w:fill="auto"/>
          </w:tcPr>
          <w:p w:rsidR="00D72414" w:rsidRDefault="00C0362E">
            <w:pPr>
              <w:jc w:val="both"/>
              <w:rPr>
                <w:rFonts w:ascii="Arial" w:eastAsia="Arial" w:hAnsi="Arial" w:cs="Arial"/>
                <w:b/>
                <w:sz w:val="20"/>
                <w:szCs w:val="20"/>
              </w:rPr>
            </w:pPr>
            <w:r>
              <w:rPr>
                <w:rFonts w:ascii="Arial" w:eastAsia="Arial" w:hAnsi="Arial" w:cs="Arial"/>
                <w:b/>
                <w:sz w:val="20"/>
                <w:szCs w:val="20"/>
              </w:rPr>
              <w:t>Maximum % Commission Price</w:t>
            </w:r>
          </w:p>
        </w:tc>
        <w:tc>
          <w:tcPr>
            <w:tcW w:w="1560" w:type="dxa"/>
            <w:tcBorders>
              <w:top w:val="single" w:sz="4" w:space="0" w:color="000000"/>
              <w:left w:val="nil"/>
              <w:bottom w:val="single" w:sz="4" w:space="0" w:color="000000"/>
              <w:right w:val="single" w:sz="4" w:space="0" w:color="000000"/>
            </w:tcBorders>
            <w:shd w:val="clear" w:color="auto" w:fill="auto"/>
          </w:tcPr>
          <w:p w:rsidR="00D72414" w:rsidRDefault="00C0362E">
            <w:pPr>
              <w:jc w:val="both"/>
              <w:rPr>
                <w:rFonts w:ascii="Arial" w:eastAsia="Arial" w:hAnsi="Arial" w:cs="Arial"/>
                <w:b/>
                <w:sz w:val="20"/>
                <w:szCs w:val="20"/>
              </w:rPr>
            </w:pPr>
            <w:r>
              <w:rPr>
                <w:rFonts w:ascii="Arial" w:eastAsia="Arial" w:hAnsi="Arial" w:cs="Arial"/>
                <w:b/>
                <w:sz w:val="20"/>
                <w:szCs w:val="20"/>
              </w:rPr>
              <w:t>Maximum % Commission Price</w:t>
            </w:r>
          </w:p>
        </w:tc>
      </w:tr>
      <w:tr w:rsidR="00D72414">
        <w:trPr>
          <w:trHeight w:val="520"/>
        </w:trPr>
        <w:tc>
          <w:tcPr>
            <w:tcW w:w="3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414" w:rsidRDefault="00C0362E">
            <w:pPr>
              <w:rPr>
                <w:rFonts w:ascii="Arial" w:eastAsia="Arial" w:hAnsi="Arial" w:cs="Arial"/>
                <w:b/>
                <w:sz w:val="20"/>
                <w:szCs w:val="20"/>
              </w:rPr>
            </w:pPr>
            <w:r>
              <w:rPr>
                <w:rFonts w:ascii="Arial" w:eastAsia="Arial" w:hAnsi="Arial" w:cs="Arial"/>
                <w:b/>
                <w:sz w:val="20"/>
                <w:szCs w:val="20"/>
              </w:rPr>
              <w:t>URN 15 - 19 Spend Analytics Recovery Services (SARS)</w:t>
            </w:r>
          </w:p>
        </w:tc>
        <w:tc>
          <w:tcPr>
            <w:tcW w:w="1780" w:type="dxa"/>
            <w:tcBorders>
              <w:top w:val="single" w:sz="4" w:space="0" w:color="000000"/>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Collections &gt;£1&lt;£50k</w:t>
            </w:r>
          </w:p>
        </w:tc>
        <w:tc>
          <w:tcPr>
            <w:tcW w:w="1980" w:type="dxa"/>
            <w:tcBorders>
              <w:top w:val="single" w:sz="4" w:space="0" w:color="000000"/>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Collections &gt;£50k&lt;£150k</w:t>
            </w:r>
          </w:p>
        </w:tc>
        <w:tc>
          <w:tcPr>
            <w:tcW w:w="1900" w:type="dxa"/>
            <w:tcBorders>
              <w:top w:val="single" w:sz="4" w:space="0" w:color="000000"/>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Collections £150k&lt;£500k</w:t>
            </w:r>
          </w:p>
        </w:tc>
        <w:tc>
          <w:tcPr>
            <w:tcW w:w="1560" w:type="dxa"/>
            <w:tcBorders>
              <w:top w:val="single" w:sz="4" w:space="0" w:color="000000"/>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Collections &gt;£500k</w:t>
            </w:r>
          </w:p>
        </w:tc>
      </w:tr>
      <w:tr w:rsidR="00D72414">
        <w:trPr>
          <w:trHeight w:val="290"/>
        </w:trPr>
        <w:tc>
          <w:tcPr>
            <w:tcW w:w="3700" w:type="dxa"/>
            <w:tcBorders>
              <w:top w:val="nil"/>
              <w:left w:val="single" w:sz="4" w:space="0" w:color="000000"/>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15a Statement Review</w:t>
            </w:r>
          </w:p>
        </w:tc>
        <w:tc>
          <w:tcPr>
            <w:tcW w:w="17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0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56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r>
      <w:tr w:rsidR="00D72414">
        <w:trPr>
          <w:trHeight w:val="290"/>
        </w:trPr>
        <w:tc>
          <w:tcPr>
            <w:tcW w:w="3700" w:type="dxa"/>
            <w:tcBorders>
              <w:top w:val="nil"/>
              <w:left w:val="single" w:sz="4" w:space="0" w:color="000000"/>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7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0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56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r>
      <w:tr w:rsidR="00D72414">
        <w:trPr>
          <w:trHeight w:val="290"/>
        </w:trPr>
        <w:tc>
          <w:tcPr>
            <w:tcW w:w="3700" w:type="dxa"/>
            <w:tcBorders>
              <w:top w:val="nil"/>
              <w:left w:val="single" w:sz="4" w:space="0" w:color="000000"/>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16a General Compliance Review</w:t>
            </w:r>
          </w:p>
        </w:tc>
        <w:tc>
          <w:tcPr>
            <w:tcW w:w="17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0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56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r>
      <w:tr w:rsidR="00D72414">
        <w:trPr>
          <w:trHeight w:val="290"/>
        </w:trPr>
        <w:tc>
          <w:tcPr>
            <w:tcW w:w="3700" w:type="dxa"/>
            <w:tcBorders>
              <w:top w:val="nil"/>
              <w:left w:val="single" w:sz="4" w:space="0" w:color="000000"/>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7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0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56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r>
      <w:tr w:rsidR="00D72414">
        <w:trPr>
          <w:trHeight w:val="290"/>
        </w:trPr>
        <w:tc>
          <w:tcPr>
            <w:tcW w:w="3700" w:type="dxa"/>
            <w:tcBorders>
              <w:top w:val="nil"/>
              <w:left w:val="single" w:sz="4" w:space="0" w:color="000000"/>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xml:space="preserve">17a Specialist Compliance Review </w:t>
            </w:r>
          </w:p>
        </w:tc>
        <w:tc>
          <w:tcPr>
            <w:tcW w:w="17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0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56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r>
      <w:tr w:rsidR="00D72414">
        <w:trPr>
          <w:trHeight w:val="290"/>
        </w:trPr>
        <w:tc>
          <w:tcPr>
            <w:tcW w:w="3700" w:type="dxa"/>
            <w:tcBorders>
              <w:top w:val="nil"/>
              <w:left w:val="single" w:sz="4" w:space="0" w:color="000000"/>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7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0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56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r>
      <w:tr w:rsidR="00D72414">
        <w:trPr>
          <w:trHeight w:val="290"/>
        </w:trPr>
        <w:tc>
          <w:tcPr>
            <w:tcW w:w="3700" w:type="dxa"/>
            <w:tcBorders>
              <w:top w:val="nil"/>
              <w:left w:val="single" w:sz="4" w:space="0" w:color="000000"/>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xml:space="preserve">18a Specialist Compliance Review </w:t>
            </w:r>
          </w:p>
        </w:tc>
        <w:tc>
          <w:tcPr>
            <w:tcW w:w="17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0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56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r>
      <w:tr w:rsidR="00D72414">
        <w:trPr>
          <w:trHeight w:val="290"/>
        </w:trPr>
        <w:tc>
          <w:tcPr>
            <w:tcW w:w="3700" w:type="dxa"/>
            <w:tcBorders>
              <w:top w:val="nil"/>
              <w:left w:val="single" w:sz="4" w:space="0" w:color="000000"/>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7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0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56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r>
      <w:tr w:rsidR="00D72414">
        <w:trPr>
          <w:trHeight w:val="290"/>
        </w:trPr>
        <w:tc>
          <w:tcPr>
            <w:tcW w:w="3700" w:type="dxa"/>
            <w:tcBorders>
              <w:top w:val="nil"/>
              <w:left w:val="single" w:sz="4" w:space="0" w:color="000000"/>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xml:space="preserve">19a Specialist Compliance Review </w:t>
            </w:r>
          </w:p>
        </w:tc>
        <w:tc>
          <w:tcPr>
            <w:tcW w:w="17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8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90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c>
          <w:tcPr>
            <w:tcW w:w="1560" w:type="dxa"/>
            <w:tcBorders>
              <w:top w:val="nil"/>
              <w:left w:val="nil"/>
              <w:bottom w:val="single" w:sz="4" w:space="0" w:color="000000"/>
              <w:right w:val="single" w:sz="4" w:space="0" w:color="000000"/>
            </w:tcBorders>
            <w:shd w:val="clear" w:color="auto" w:fill="auto"/>
            <w:vAlign w:val="center"/>
          </w:tcPr>
          <w:p w:rsidR="00D72414" w:rsidRDefault="00C0362E">
            <w:pPr>
              <w:jc w:val="both"/>
              <w:rPr>
                <w:rFonts w:ascii="Arial" w:eastAsia="Arial" w:hAnsi="Arial" w:cs="Arial"/>
                <w:b/>
                <w:sz w:val="20"/>
                <w:szCs w:val="20"/>
              </w:rPr>
            </w:pPr>
            <w:r>
              <w:rPr>
                <w:rFonts w:ascii="Arial" w:eastAsia="Arial" w:hAnsi="Arial" w:cs="Arial"/>
                <w:b/>
                <w:sz w:val="20"/>
                <w:szCs w:val="20"/>
              </w:rPr>
              <w:t> </w:t>
            </w:r>
          </w:p>
        </w:tc>
      </w:tr>
    </w:tbl>
    <w:p w:rsidR="00D72414" w:rsidRDefault="00D72414">
      <w:pPr>
        <w:pBdr>
          <w:top w:val="nil"/>
          <w:left w:val="nil"/>
          <w:bottom w:val="nil"/>
          <w:right w:val="nil"/>
          <w:between w:val="nil"/>
        </w:pBdr>
        <w:spacing w:before="240"/>
        <w:jc w:val="both"/>
        <w:rPr>
          <w:rFonts w:ascii="Arial" w:eastAsia="Arial" w:hAnsi="Arial" w:cs="Arial"/>
          <w:b/>
          <w:color w:val="000000"/>
          <w:sz w:val="20"/>
          <w:szCs w:val="20"/>
        </w:rPr>
      </w:pPr>
    </w:p>
    <w:p w:rsidR="00D72414" w:rsidRDefault="00C0362E">
      <w:pPr>
        <w:pBdr>
          <w:top w:val="nil"/>
          <w:left w:val="nil"/>
          <w:bottom w:val="nil"/>
          <w:right w:val="nil"/>
          <w:between w:val="nil"/>
        </w:pBdr>
        <w:spacing w:before="240"/>
        <w:jc w:val="both"/>
        <w:rPr>
          <w:rFonts w:ascii="Arial" w:eastAsia="Arial" w:hAnsi="Arial" w:cs="Arial"/>
          <w:b/>
          <w:color w:val="000000"/>
          <w:sz w:val="20"/>
          <w:szCs w:val="20"/>
        </w:rPr>
      </w:pPr>
      <w:r>
        <w:rPr>
          <w:rFonts w:ascii="Arial" w:eastAsia="Arial" w:hAnsi="Arial" w:cs="Arial"/>
          <w:b/>
          <w:color w:val="000000"/>
          <w:sz w:val="20"/>
          <w:szCs w:val="20"/>
        </w:rPr>
        <w:t>Table 2 Rate Card URN 15-19.b</w:t>
      </w:r>
    </w:p>
    <w:p w:rsidR="00D72414" w:rsidRDefault="00D72414">
      <w:pPr>
        <w:pBdr>
          <w:top w:val="nil"/>
          <w:left w:val="nil"/>
          <w:bottom w:val="nil"/>
          <w:right w:val="nil"/>
          <w:between w:val="nil"/>
        </w:pBdr>
        <w:spacing w:before="240"/>
        <w:jc w:val="both"/>
        <w:rPr>
          <w:rFonts w:ascii="Arial" w:eastAsia="Arial" w:hAnsi="Arial" w:cs="Arial"/>
          <w:b/>
          <w:color w:val="000000"/>
          <w:sz w:val="20"/>
          <w:szCs w:val="20"/>
        </w:rPr>
      </w:pPr>
    </w:p>
    <w:tbl>
      <w:tblPr>
        <w:tblStyle w:val="affffe"/>
        <w:tblW w:w="1417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1919"/>
        <w:gridCol w:w="1926"/>
        <w:gridCol w:w="2260"/>
        <w:gridCol w:w="2140"/>
        <w:gridCol w:w="2140"/>
        <w:gridCol w:w="1943"/>
        <w:gridCol w:w="1842"/>
      </w:tblGrid>
      <w:tr w:rsidR="00D72414">
        <w:tc>
          <w:tcPr>
            <w:tcW w:w="1919" w:type="dxa"/>
            <w:shd w:val="clear" w:color="auto" w:fill="E7E6E6"/>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Seniority</w:t>
            </w:r>
          </w:p>
        </w:tc>
        <w:tc>
          <w:tcPr>
            <w:tcW w:w="1926" w:type="dxa"/>
            <w:shd w:val="clear" w:color="auto" w:fill="E7E6E6"/>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 xml:space="preserve">Partner / </w:t>
            </w:r>
            <w:r>
              <w:rPr>
                <w:rFonts w:ascii="Arial" w:eastAsia="Arial" w:hAnsi="Arial" w:cs="Arial"/>
                <w:b/>
                <w:sz w:val="20"/>
                <w:szCs w:val="20"/>
              </w:rPr>
              <w:br/>
              <w:t>Managing Director</w:t>
            </w:r>
          </w:p>
        </w:tc>
        <w:tc>
          <w:tcPr>
            <w:tcW w:w="2260" w:type="dxa"/>
            <w:shd w:val="clear" w:color="auto" w:fill="E7E6E6"/>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 xml:space="preserve">Managing Consultant / </w:t>
            </w:r>
            <w:r>
              <w:rPr>
                <w:rFonts w:ascii="Arial" w:eastAsia="Arial" w:hAnsi="Arial" w:cs="Arial"/>
                <w:b/>
                <w:sz w:val="20"/>
                <w:szCs w:val="20"/>
              </w:rPr>
              <w:br/>
              <w:t xml:space="preserve">Associate Director / </w:t>
            </w:r>
            <w:r>
              <w:rPr>
                <w:rFonts w:ascii="Arial" w:eastAsia="Arial" w:hAnsi="Arial" w:cs="Arial"/>
                <w:b/>
                <w:sz w:val="20"/>
                <w:szCs w:val="20"/>
              </w:rPr>
              <w:br/>
              <w:t>Director</w:t>
            </w:r>
          </w:p>
        </w:tc>
        <w:tc>
          <w:tcPr>
            <w:tcW w:w="2140" w:type="dxa"/>
            <w:shd w:val="clear" w:color="auto" w:fill="E7E6E6"/>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Principal</w:t>
            </w:r>
            <w:r>
              <w:rPr>
                <w:rFonts w:ascii="Arial" w:eastAsia="Arial" w:hAnsi="Arial" w:cs="Arial"/>
                <w:b/>
                <w:sz w:val="20"/>
                <w:szCs w:val="20"/>
              </w:rPr>
              <w:br/>
              <w:t>Consultant</w:t>
            </w:r>
          </w:p>
        </w:tc>
        <w:tc>
          <w:tcPr>
            <w:tcW w:w="2140" w:type="dxa"/>
            <w:shd w:val="clear" w:color="auto" w:fill="E7E6E6"/>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Senior Consultant /</w:t>
            </w:r>
            <w:r>
              <w:rPr>
                <w:rFonts w:ascii="Arial" w:eastAsia="Arial" w:hAnsi="Arial" w:cs="Arial"/>
                <w:b/>
                <w:sz w:val="20"/>
                <w:szCs w:val="20"/>
              </w:rPr>
              <w:br/>
              <w:t>Manager</w:t>
            </w:r>
          </w:p>
        </w:tc>
        <w:tc>
          <w:tcPr>
            <w:tcW w:w="1943" w:type="dxa"/>
            <w:shd w:val="clear" w:color="auto" w:fill="E7E6E6"/>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Consultant / Senior Analyst</w:t>
            </w:r>
          </w:p>
        </w:tc>
        <w:tc>
          <w:tcPr>
            <w:tcW w:w="1842" w:type="dxa"/>
            <w:shd w:val="clear" w:color="auto" w:fill="E7E6E6"/>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Junior Consultant / Analyst</w:t>
            </w:r>
          </w:p>
        </w:tc>
      </w:tr>
      <w:tr w:rsidR="00D72414">
        <w:tc>
          <w:tcPr>
            <w:tcW w:w="1919" w:type="dxa"/>
            <w:shd w:val="clear" w:color="auto" w:fill="E7E6E6"/>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Charge per ½ Work Day to the nearest  £1</w:t>
            </w:r>
          </w:p>
        </w:tc>
        <w:tc>
          <w:tcPr>
            <w:tcW w:w="1926"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w:t>
            </w:r>
          </w:p>
        </w:tc>
        <w:tc>
          <w:tcPr>
            <w:tcW w:w="2260"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w:t>
            </w:r>
          </w:p>
        </w:tc>
        <w:tc>
          <w:tcPr>
            <w:tcW w:w="2140"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w:t>
            </w:r>
          </w:p>
        </w:tc>
        <w:tc>
          <w:tcPr>
            <w:tcW w:w="2140"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w:t>
            </w:r>
          </w:p>
        </w:tc>
        <w:tc>
          <w:tcPr>
            <w:tcW w:w="1943"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w:t>
            </w:r>
          </w:p>
        </w:tc>
        <w:tc>
          <w:tcPr>
            <w:tcW w:w="1842"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w:t>
            </w:r>
          </w:p>
        </w:tc>
      </w:tr>
      <w:tr w:rsidR="00D72414">
        <w:tc>
          <w:tcPr>
            <w:tcW w:w="1919" w:type="dxa"/>
            <w:shd w:val="clear" w:color="auto" w:fill="E7E6E6"/>
          </w:tcPr>
          <w:p w:rsidR="00D72414" w:rsidRDefault="00C0362E">
            <w:pPr>
              <w:spacing w:before="240"/>
              <w:jc w:val="both"/>
              <w:rPr>
                <w:rFonts w:ascii="Arial" w:eastAsia="Arial" w:hAnsi="Arial" w:cs="Arial"/>
                <w:b/>
                <w:sz w:val="20"/>
                <w:szCs w:val="20"/>
              </w:rPr>
            </w:pPr>
            <w:r>
              <w:rPr>
                <w:rFonts w:ascii="Arial" w:eastAsia="Arial" w:hAnsi="Arial" w:cs="Arial"/>
                <w:sz w:val="20"/>
                <w:szCs w:val="20"/>
                <w:highlight w:val="white"/>
              </w:rPr>
              <w:t xml:space="preserve">Summary descriptions of each Level - actual descriptions will be </w:t>
            </w:r>
            <w:r>
              <w:rPr>
                <w:rFonts w:ascii="Arial" w:eastAsia="Arial" w:hAnsi="Arial" w:cs="Arial"/>
                <w:sz w:val="20"/>
                <w:szCs w:val="20"/>
                <w:highlight w:val="white"/>
              </w:rPr>
              <w:lastRenderedPageBreak/>
              <w:t>Approved by the Buyer within their Call-Off Contract as they will be specific to the Buyer's Deliverables</w:t>
            </w:r>
          </w:p>
        </w:tc>
        <w:tc>
          <w:tcPr>
            <w:tcW w:w="1926" w:type="dxa"/>
          </w:tcPr>
          <w:p w:rsidR="00D72414" w:rsidRDefault="00C0362E">
            <w:pPr>
              <w:spacing w:before="240"/>
              <w:jc w:val="both"/>
              <w:rPr>
                <w:rFonts w:ascii="Arial" w:eastAsia="Arial" w:hAnsi="Arial" w:cs="Arial"/>
                <w:sz w:val="20"/>
                <w:szCs w:val="20"/>
              </w:rPr>
            </w:pPr>
            <w:r>
              <w:rPr>
                <w:rFonts w:ascii="Arial" w:eastAsia="Arial" w:hAnsi="Arial" w:cs="Arial"/>
                <w:sz w:val="20"/>
                <w:szCs w:val="20"/>
                <w:highlight w:val="white"/>
              </w:rPr>
              <w:lastRenderedPageBreak/>
              <w:t xml:space="preserve">Is responsible for the operation of the entire consultancy practise, and Buyer </w:t>
            </w:r>
            <w:r>
              <w:rPr>
                <w:rFonts w:ascii="Arial" w:eastAsia="Arial" w:hAnsi="Arial" w:cs="Arial"/>
                <w:sz w:val="20"/>
                <w:szCs w:val="20"/>
                <w:highlight w:val="white"/>
              </w:rPr>
              <w:lastRenderedPageBreak/>
              <w:t>engagement if required with the Buyer's staff at Director level or above if required by the Buyer</w:t>
            </w:r>
          </w:p>
        </w:tc>
        <w:tc>
          <w:tcPr>
            <w:tcW w:w="2260" w:type="dxa"/>
          </w:tcPr>
          <w:p w:rsidR="00D72414" w:rsidRDefault="00C0362E">
            <w:pPr>
              <w:spacing w:before="240"/>
              <w:jc w:val="both"/>
              <w:rPr>
                <w:rFonts w:ascii="Arial" w:eastAsia="Arial" w:hAnsi="Arial" w:cs="Arial"/>
                <w:sz w:val="20"/>
                <w:szCs w:val="20"/>
              </w:rPr>
            </w:pPr>
            <w:r>
              <w:rPr>
                <w:rFonts w:ascii="Arial" w:eastAsia="Arial" w:hAnsi="Arial" w:cs="Arial"/>
                <w:sz w:val="20"/>
                <w:szCs w:val="20"/>
                <w:highlight w:val="white"/>
              </w:rPr>
              <w:lastRenderedPageBreak/>
              <w:t xml:space="preserve">Takes responsibility for a significant consultancy practice, including practice </w:t>
            </w:r>
            <w:r>
              <w:rPr>
                <w:rFonts w:ascii="Arial" w:eastAsia="Arial" w:hAnsi="Arial" w:cs="Arial"/>
                <w:sz w:val="20"/>
                <w:szCs w:val="20"/>
                <w:highlight w:val="white"/>
              </w:rPr>
              <w:lastRenderedPageBreak/>
              <w:t>development, proposals/sales to internal or external Buyers, account management and managing the delivery of consultancy services over a wide range of topics</w:t>
            </w:r>
          </w:p>
        </w:tc>
        <w:tc>
          <w:tcPr>
            <w:tcW w:w="2140" w:type="dxa"/>
          </w:tcPr>
          <w:p w:rsidR="00D72414" w:rsidRDefault="00C0362E">
            <w:pPr>
              <w:spacing w:before="240"/>
              <w:jc w:val="both"/>
              <w:rPr>
                <w:rFonts w:ascii="Arial" w:eastAsia="Arial" w:hAnsi="Arial" w:cs="Arial"/>
                <w:sz w:val="20"/>
                <w:szCs w:val="20"/>
              </w:rPr>
            </w:pPr>
            <w:r>
              <w:rPr>
                <w:rFonts w:ascii="Arial" w:eastAsia="Arial" w:hAnsi="Arial" w:cs="Arial"/>
                <w:sz w:val="20"/>
                <w:szCs w:val="20"/>
                <w:highlight w:val="white"/>
              </w:rPr>
              <w:lastRenderedPageBreak/>
              <w:t xml:space="preserve">Manages provision of consultancy services to the Buyer, and/or supervision of a team </w:t>
            </w:r>
            <w:r>
              <w:rPr>
                <w:rFonts w:ascii="Arial" w:eastAsia="Arial" w:hAnsi="Arial" w:cs="Arial"/>
                <w:sz w:val="20"/>
                <w:szCs w:val="20"/>
                <w:highlight w:val="white"/>
              </w:rPr>
              <w:lastRenderedPageBreak/>
              <w:t>of consultants. In own areas of expertise, provides advice and guidance to consultants and/or the Buyer through involvement in the delivery of consultancy services. Engages with Buyers and maintains Buyer relationships. Establishes agreements/contracts and manages completion and disengagement</w:t>
            </w:r>
          </w:p>
        </w:tc>
        <w:tc>
          <w:tcPr>
            <w:tcW w:w="2140" w:type="dxa"/>
          </w:tcPr>
          <w:p w:rsidR="00D72414" w:rsidRDefault="00C0362E">
            <w:pPr>
              <w:spacing w:before="240"/>
              <w:jc w:val="both"/>
              <w:rPr>
                <w:rFonts w:ascii="Arial" w:eastAsia="Arial" w:hAnsi="Arial" w:cs="Arial"/>
                <w:sz w:val="20"/>
                <w:szCs w:val="20"/>
              </w:rPr>
            </w:pPr>
            <w:r>
              <w:rPr>
                <w:rFonts w:ascii="Arial" w:eastAsia="Arial" w:hAnsi="Arial" w:cs="Arial"/>
                <w:sz w:val="20"/>
                <w:szCs w:val="20"/>
                <w:highlight w:val="white"/>
              </w:rPr>
              <w:lastRenderedPageBreak/>
              <w:t xml:space="preserve">Manages provision of consultancy services, and/or management of a team of </w:t>
            </w:r>
            <w:r>
              <w:rPr>
                <w:rFonts w:ascii="Arial" w:eastAsia="Arial" w:hAnsi="Arial" w:cs="Arial"/>
                <w:sz w:val="20"/>
                <w:szCs w:val="20"/>
                <w:highlight w:val="white"/>
              </w:rPr>
              <w:lastRenderedPageBreak/>
              <w:t>consultants. In own areas of expertise, provides advice and guidance to consultants and/or the Buyer through involvement in the delivery of consultancy services. Engages with Buyers and maintains Buyer relationships. Establishes agreements/contracts and manages completion and disengagement</w:t>
            </w:r>
          </w:p>
        </w:tc>
        <w:tc>
          <w:tcPr>
            <w:tcW w:w="1943" w:type="dxa"/>
          </w:tcPr>
          <w:p w:rsidR="00D72414" w:rsidRDefault="00C0362E">
            <w:pPr>
              <w:spacing w:before="240"/>
              <w:jc w:val="both"/>
              <w:rPr>
                <w:rFonts w:ascii="Arial" w:eastAsia="Arial" w:hAnsi="Arial" w:cs="Arial"/>
                <w:sz w:val="20"/>
                <w:szCs w:val="20"/>
              </w:rPr>
            </w:pPr>
            <w:r>
              <w:rPr>
                <w:rFonts w:ascii="Arial" w:eastAsia="Arial" w:hAnsi="Arial" w:cs="Arial"/>
                <w:sz w:val="20"/>
                <w:szCs w:val="20"/>
                <w:highlight w:val="white"/>
              </w:rPr>
              <w:lastRenderedPageBreak/>
              <w:t xml:space="preserve">Provides consultancy services, and/or supervision of a </w:t>
            </w:r>
            <w:r>
              <w:rPr>
                <w:rFonts w:ascii="Arial" w:eastAsia="Arial" w:hAnsi="Arial" w:cs="Arial"/>
                <w:sz w:val="20"/>
                <w:szCs w:val="20"/>
                <w:highlight w:val="white"/>
              </w:rPr>
              <w:lastRenderedPageBreak/>
              <w:t>team of consultants. In own areas of expertise, provides advice and guidance to consultants and/or the Buyer through involvement in the delivery of consultancy services. Engages with Buyer and maintains Buyer relationships.</w:t>
            </w:r>
          </w:p>
        </w:tc>
        <w:tc>
          <w:tcPr>
            <w:tcW w:w="1842" w:type="dxa"/>
          </w:tcPr>
          <w:p w:rsidR="00D72414" w:rsidRDefault="00C0362E">
            <w:pPr>
              <w:spacing w:before="240"/>
              <w:jc w:val="both"/>
              <w:rPr>
                <w:rFonts w:ascii="Arial" w:eastAsia="Arial" w:hAnsi="Arial" w:cs="Arial"/>
                <w:sz w:val="20"/>
                <w:szCs w:val="20"/>
              </w:rPr>
            </w:pPr>
            <w:r>
              <w:rPr>
                <w:rFonts w:ascii="Arial" w:eastAsia="Arial" w:hAnsi="Arial" w:cs="Arial"/>
                <w:sz w:val="20"/>
                <w:szCs w:val="20"/>
                <w:highlight w:val="white"/>
              </w:rPr>
              <w:lastRenderedPageBreak/>
              <w:t xml:space="preserve">Provides consultancy services, </w:t>
            </w:r>
            <w:proofErr w:type="gramStart"/>
            <w:r>
              <w:rPr>
                <w:rFonts w:ascii="Arial" w:eastAsia="Arial" w:hAnsi="Arial" w:cs="Arial"/>
                <w:sz w:val="20"/>
                <w:szCs w:val="20"/>
                <w:highlight w:val="white"/>
              </w:rPr>
              <w:t>Under</w:t>
            </w:r>
            <w:proofErr w:type="gramEnd"/>
            <w:r>
              <w:rPr>
                <w:rFonts w:ascii="Arial" w:eastAsia="Arial" w:hAnsi="Arial" w:cs="Arial"/>
                <w:sz w:val="20"/>
                <w:szCs w:val="20"/>
                <w:highlight w:val="white"/>
              </w:rPr>
              <w:t xml:space="preserve"> supervision, In </w:t>
            </w:r>
            <w:r>
              <w:rPr>
                <w:rFonts w:ascii="Arial" w:eastAsia="Arial" w:hAnsi="Arial" w:cs="Arial"/>
                <w:sz w:val="20"/>
                <w:szCs w:val="20"/>
                <w:highlight w:val="white"/>
              </w:rPr>
              <w:lastRenderedPageBreak/>
              <w:t xml:space="preserve">own areas of expertise, provides advice and guidance to the Buyer through involvement in the delivery of consultancy services. </w:t>
            </w:r>
          </w:p>
        </w:tc>
      </w:tr>
      <w:tr w:rsidR="00D72414">
        <w:tc>
          <w:tcPr>
            <w:tcW w:w="1919" w:type="dxa"/>
            <w:shd w:val="clear" w:color="auto" w:fill="E7E6E6"/>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lastRenderedPageBreak/>
              <w:t>Guidance</w:t>
            </w:r>
          </w:p>
        </w:tc>
        <w:tc>
          <w:tcPr>
            <w:tcW w:w="1926"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To be completed first</w:t>
            </w:r>
          </w:p>
        </w:tc>
        <w:tc>
          <w:tcPr>
            <w:tcW w:w="2260"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No less than 50% of the immediately higher level of seniority</w:t>
            </w:r>
          </w:p>
        </w:tc>
        <w:tc>
          <w:tcPr>
            <w:tcW w:w="2140"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No less than 50% of the immediately higher level of seniority</w:t>
            </w:r>
          </w:p>
        </w:tc>
        <w:tc>
          <w:tcPr>
            <w:tcW w:w="2140"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No less than 50% of the immediately higher level of seniority</w:t>
            </w:r>
          </w:p>
        </w:tc>
        <w:tc>
          <w:tcPr>
            <w:tcW w:w="1943"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No less than 50% of the immediately higher level of seniority</w:t>
            </w:r>
          </w:p>
        </w:tc>
        <w:tc>
          <w:tcPr>
            <w:tcW w:w="1842" w:type="dxa"/>
          </w:tcPr>
          <w:p w:rsidR="00D72414" w:rsidRDefault="00C0362E">
            <w:pPr>
              <w:spacing w:before="240"/>
              <w:jc w:val="both"/>
              <w:rPr>
                <w:rFonts w:ascii="Arial" w:eastAsia="Arial" w:hAnsi="Arial" w:cs="Arial"/>
                <w:sz w:val="20"/>
                <w:szCs w:val="20"/>
              </w:rPr>
            </w:pPr>
            <w:r>
              <w:rPr>
                <w:rFonts w:ascii="Arial" w:eastAsia="Arial" w:hAnsi="Arial" w:cs="Arial"/>
                <w:sz w:val="20"/>
                <w:szCs w:val="20"/>
              </w:rPr>
              <w:t>No less than 50% of the immediately higher level of seniority</w:t>
            </w:r>
          </w:p>
        </w:tc>
      </w:tr>
    </w:tbl>
    <w:p w:rsidR="00D72414" w:rsidRDefault="00D72414">
      <w:pPr>
        <w:pBdr>
          <w:top w:val="nil"/>
          <w:left w:val="nil"/>
          <w:bottom w:val="nil"/>
          <w:right w:val="nil"/>
          <w:between w:val="nil"/>
        </w:pBdr>
        <w:ind w:left="794"/>
        <w:jc w:val="both"/>
      </w:pPr>
    </w:p>
    <w:p w:rsidR="00D72414" w:rsidRDefault="00D72414">
      <w:pPr>
        <w:pBdr>
          <w:top w:val="nil"/>
          <w:left w:val="nil"/>
          <w:bottom w:val="nil"/>
          <w:right w:val="nil"/>
          <w:between w:val="nil"/>
        </w:pBdr>
        <w:ind w:left="794"/>
        <w:jc w:val="both"/>
      </w:pPr>
    </w:p>
    <w:p w:rsidR="00D72414" w:rsidRDefault="00C0362E">
      <w:pPr>
        <w:pBdr>
          <w:top w:val="nil"/>
          <w:left w:val="nil"/>
          <w:bottom w:val="nil"/>
          <w:right w:val="nil"/>
          <w:between w:val="nil"/>
        </w:pBdr>
        <w:jc w:val="both"/>
        <w:rPr>
          <w:rFonts w:ascii="Arial" w:eastAsia="Arial" w:hAnsi="Arial" w:cs="Arial"/>
          <w:b/>
        </w:rPr>
      </w:pPr>
      <w:r>
        <w:rPr>
          <w:rFonts w:ascii="Arial" w:eastAsia="Arial" w:hAnsi="Arial" w:cs="Arial"/>
          <w:b/>
        </w:rPr>
        <w:t>PART K</w:t>
      </w:r>
    </w:p>
    <w:p w:rsidR="00D72414" w:rsidRDefault="00D72414">
      <w:pPr>
        <w:pBdr>
          <w:top w:val="nil"/>
          <w:left w:val="nil"/>
          <w:bottom w:val="nil"/>
          <w:right w:val="nil"/>
          <w:between w:val="nil"/>
        </w:pBdr>
        <w:ind w:left="794"/>
        <w:jc w:val="both"/>
      </w:pPr>
    </w:p>
    <w:p w:rsidR="00D72414" w:rsidRDefault="00D72414">
      <w:pPr>
        <w:pBdr>
          <w:top w:val="nil"/>
          <w:left w:val="nil"/>
          <w:bottom w:val="nil"/>
          <w:right w:val="nil"/>
          <w:between w:val="nil"/>
        </w:pBdr>
        <w:ind w:left="794"/>
        <w:jc w:val="both"/>
      </w:pPr>
    </w:p>
    <w:p w:rsidR="00D72414" w:rsidRDefault="00C0362E">
      <w:pPr>
        <w:numPr>
          <w:ilvl w:val="0"/>
          <w:numId w:val="20"/>
        </w:num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Part L (Lot 20) Managed Enforcement Agency Services</w:t>
      </w:r>
    </w:p>
    <w:p w:rsidR="00D72414" w:rsidRDefault="00C0362E">
      <w:pPr>
        <w:pBdr>
          <w:top w:val="nil"/>
          <w:left w:val="nil"/>
          <w:bottom w:val="nil"/>
          <w:right w:val="nil"/>
          <w:between w:val="nil"/>
        </w:pBdr>
        <w:ind w:left="360"/>
        <w:rPr>
          <w:rFonts w:ascii="Arial" w:eastAsia="Arial" w:hAnsi="Arial" w:cs="Arial"/>
          <w:b/>
          <w:color w:val="000000"/>
          <w:sz w:val="22"/>
          <w:szCs w:val="22"/>
        </w:rPr>
      </w:pPr>
      <w:r>
        <w:rPr>
          <w:rFonts w:ascii="Arial" w:eastAsia="Arial" w:hAnsi="Arial" w:cs="Arial"/>
          <w:b/>
          <w:color w:val="000000"/>
          <w:sz w:val="22"/>
          <w:szCs w:val="22"/>
        </w:rPr>
        <w:t xml:space="preserve"> </w:t>
      </w:r>
    </w:p>
    <w:p w:rsidR="00D72414" w:rsidRDefault="00C0362E">
      <w:pPr>
        <w:numPr>
          <w:ilvl w:val="1"/>
          <w:numId w:val="20"/>
        </w:numPr>
        <w:pBdr>
          <w:top w:val="nil"/>
          <w:left w:val="nil"/>
          <w:bottom w:val="nil"/>
          <w:right w:val="nil"/>
          <w:between w:val="nil"/>
        </w:pBdr>
        <w:rPr>
          <w:rFonts w:ascii="Arial" w:eastAsia="Arial" w:hAnsi="Arial" w:cs="Arial"/>
          <w:b/>
          <w:color w:val="000000"/>
          <w:sz w:val="22"/>
          <w:szCs w:val="22"/>
        </w:rPr>
      </w:pPr>
      <w:r>
        <w:rPr>
          <w:rFonts w:ascii="Arial" w:eastAsia="Arial" w:hAnsi="Arial" w:cs="Arial"/>
          <w:color w:val="000000"/>
          <w:sz w:val="20"/>
          <w:szCs w:val="20"/>
        </w:rPr>
        <w:t>All Charges for Enforcement Services will be calculated in accordance the Taking Control of Goods (Fees) Regulations 2014 with the exception of the Management Fee, Arrest Warrants and International Foreign Registered Vehicle (FRV) Enforcement.</w:t>
      </w:r>
    </w:p>
    <w:p w:rsidR="00D72414" w:rsidRDefault="00D72414">
      <w:pPr>
        <w:pBdr>
          <w:top w:val="nil"/>
          <w:left w:val="nil"/>
          <w:bottom w:val="nil"/>
          <w:right w:val="nil"/>
          <w:between w:val="nil"/>
        </w:pBdr>
        <w:ind w:left="720"/>
        <w:rPr>
          <w:rFonts w:ascii="Arial" w:eastAsia="Arial" w:hAnsi="Arial" w:cs="Arial"/>
          <w:b/>
          <w:color w:val="000000"/>
          <w:sz w:val="20"/>
          <w:szCs w:val="20"/>
        </w:rPr>
      </w:pPr>
    </w:p>
    <w:p w:rsidR="00D72414" w:rsidRDefault="00C0362E">
      <w:pPr>
        <w:numPr>
          <w:ilvl w:val="0"/>
          <w:numId w:val="20"/>
        </w:num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Management Fee </w:t>
      </w:r>
    </w:p>
    <w:p w:rsidR="00D72414" w:rsidRDefault="00C0362E">
      <w:pPr>
        <w:pBdr>
          <w:top w:val="nil"/>
          <w:left w:val="nil"/>
          <w:bottom w:val="nil"/>
          <w:right w:val="nil"/>
          <w:between w:val="nil"/>
        </w:pBdr>
        <w:ind w:left="360"/>
        <w:rPr>
          <w:rFonts w:ascii="Arial" w:eastAsia="Arial" w:hAnsi="Arial" w:cs="Arial"/>
          <w:color w:val="000000"/>
          <w:sz w:val="20"/>
          <w:szCs w:val="20"/>
        </w:rPr>
      </w:pPr>
      <w:r>
        <w:rPr>
          <w:rFonts w:ascii="Arial" w:eastAsia="Arial" w:hAnsi="Arial" w:cs="Arial"/>
          <w:b/>
          <w:color w:val="000000"/>
          <w:sz w:val="22"/>
          <w:szCs w:val="22"/>
        </w:rPr>
        <w:t xml:space="preserve"> </w:t>
      </w:r>
    </w:p>
    <w:p w:rsidR="00D72414" w:rsidRDefault="00C0362E">
      <w:pPr>
        <w:numPr>
          <w:ilvl w:val="1"/>
          <w:numId w:val="20"/>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Management Fee Charged for each Account Placed by the Buyer with the Supplier shall be calculated on a Unit Price basis in accordance with Table 1 below and this will be the only charge payable for Managed Services.</w:t>
      </w:r>
    </w:p>
    <w:p w:rsidR="00D72414" w:rsidRDefault="00D72414">
      <w:pPr>
        <w:rPr>
          <w:rFonts w:ascii="Arial" w:eastAsia="Arial" w:hAnsi="Arial" w:cs="Arial"/>
          <w:b/>
          <w:sz w:val="22"/>
          <w:szCs w:val="22"/>
        </w:rPr>
      </w:pPr>
    </w:p>
    <w:p w:rsidR="00D72414" w:rsidRDefault="00C0362E">
      <w:pPr>
        <w:ind w:left="360"/>
        <w:rPr>
          <w:rFonts w:ascii="Arial" w:eastAsia="Arial" w:hAnsi="Arial" w:cs="Arial"/>
          <w:b/>
          <w:sz w:val="22"/>
          <w:szCs w:val="22"/>
        </w:rPr>
      </w:pPr>
      <w:r>
        <w:rPr>
          <w:rFonts w:ascii="Arial" w:eastAsia="Arial" w:hAnsi="Arial" w:cs="Arial"/>
          <w:b/>
          <w:sz w:val="22"/>
          <w:szCs w:val="22"/>
        </w:rPr>
        <w:lastRenderedPageBreak/>
        <w:t>Table 1</w:t>
      </w:r>
    </w:p>
    <w:p w:rsidR="00D72414" w:rsidRDefault="00D72414">
      <w:pPr>
        <w:ind w:left="720"/>
        <w:rPr>
          <w:rFonts w:ascii="Arial" w:eastAsia="Arial" w:hAnsi="Arial" w:cs="Arial"/>
          <w:b/>
          <w:sz w:val="22"/>
          <w:szCs w:val="22"/>
        </w:rPr>
      </w:pPr>
    </w:p>
    <w:tbl>
      <w:tblPr>
        <w:tblStyle w:val="afffff"/>
        <w:tblW w:w="2800" w:type="dxa"/>
        <w:tblInd w:w="35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2800"/>
      </w:tblGrid>
      <w:tr w:rsidR="00D72414">
        <w:trPr>
          <w:trHeight w:val="1050"/>
        </w:trPr>
        <w:tc>
          <w:tcPr>
            <w:tcW w:w="2800" w:type="dxa"/>
            <w:tcBorders>
              <w:top w:val="single" w:sz="8" w:space="0" w:color="000000"/>
              <w:left w:val="single" w:sz="8" w:space="0" w:color="000000"/>
              <w:bottom w:val="nil"/>
              <w:right w:val="single" w:sz="8" w:space="0" w:color="000000"/>
            </w:tcBorders>
            <w:shd w:val="clear" w:color="auto" w:fill="E7E6E6"/>
            <w:vAlign w:val="center"/>
          </w:tcPr>
          <w:p w:rsidR="00D72414" w:rsidRDefault="00C0362E">
            <w:pPr>
              <w:rPr>
                <w:rFonts w:ascii="Arial" w:eastAsia="Arial" w:hAnsi="Arial" w:cs="Arial"/>
                <w:b/>
                <w:sz w:val="20"/>
                <w:szCs w:val="20"/>
              </w:rPr>
            </w:pPr>
            <w:r>
              <w:rPr>
                <w:rFonts w:ascii="Arial" w:eastAsia="Arial" w:hAnsi="Arial" w:cs="Arial"/>
                <w:b/>
                <w:sz w:val="20"/>
                <w:szCs w:val="20"/>
              </w:rPr>
              <w:t xml:space="preserve">URN 20.a Monthly Service Management Fee </w:t>
            </w:r>
            <w:r>
              <w:rPr>
                <w:rFonts w:ascii="Calibri" w:eastAsia="Calibri" w:hAnsi="Calibri" w:cs="Calibri"/>
                <w:b/>
              </w:rPr>
              <w:t>Unit Price £</w:t>
            </w:r>
            <w:r>
              <w:rPr>
                <w:rFonts w:ascii="Arial" w:eastAsia="Arial" w:hAnsi="Arial" w:cs="Arial"/>
                <w:b/>
                <w:sz w:val="20"/>
                <w:szCs w:val="20"/>
              </w:rPr>
              <w:t xml:space="preserve"> (Shall be the same across all Debt Types for all Buyers)</w:t>
            </w:r>
          </w:p>
        </w:tc>
      </w:tr>
      <w:tr w:rsidR="00D72414">
        <w:trPr>
          <w:trHeight w:val="300"/>
        </w:trPr>
        <w:tc>
          <w:tcPr>
            <w:tcW w:w="2800" w:type="dxa"/>
            <w:tcBorders>
              <w:top w:val="single" w:sz="8" w:space="0" w:color="000000"/>
              <w:left w:val="single" w:sz="8" w:space="0" w:color="000000"/>
              <w:bottom w:val="single" w:sz="8" w:space="0" w:color="000000"/>
              <w:right w:val="single" w:sz="8" w:space="0" w:color="000000"/>
            </w:tcBorders>
            <w:shd w:val="clear" w:color="auto" w:fill="auto"/>
            <w:vAlign w:val="bottom"/>
          </w:tcPr>
          <w:p w:rsidR="00D72414" w:rsidRDefault="00C0362E">
            <w:pPr>
              <w:rPr>
                <w:rFonts w:ascii="Calibri" w:eastAsia="Calibri" w:hAnsi="Calibri" w:cs="Calibri"/>
              </w:rPr>
            </w:pPr>
            <w:r>
              <w:rPr>
                <w:rFonts w:ascii="Calibri" w:eastAsia="Calibri" w:hAnsi="Calibri" w:cs="Calibri"/>
              </w:rPr>
              <w:t>£</w:t>
            </w:r>
          </w:p>
        </w:tc>
      </w:tr>
    </w:tbl>
    <w:p w:rsidR="00D72414" w:rsidRDefault="00D72414">
      <w:pPr>
        <w:pBdr>
          <w:top w:val="nil"/>
          <w:left w:val="nil"/>
          <w:bottom w:val="nil"/>
          <w:right w:val="nil"/>
          <w:between w:val="nil"/>
        </w:pBdr>
        <w:ind w:left="720"/>
        <w:rPr>
          <w:rFonts w:ascii="Arial" w:eastAsia="Arial" w:hAnsi="Arial" w:cs="Arial"/>
          <w:b/>
          <w:color w:val="000000"/>
          <w:sz w:val="20"/>
          <w:szCs w:val="20"/>
        </w:rPr>
      </w:pPr>
    </w:p>
    <w:p w:rsidR="00D72414" w:rsidRDefault="00D72414">
      <w:pPr>
        <w:pBdr>
          <w:top w:val="nil"/>
          <w:left w:val="nil"/>
          <w:bottom w:val="nil"/>
          <w:right w:val="nil"/>
          <w:between w:val="nil"/>
        </w:pBdr>
        <w:ind w:left="720"/>
        <w:rPr>
          <w:rFonts w:ascii="Arial" w:eastAsia="Arial" w:hAnsi="Arial" w:cs="Arial"/>
          <w:b/>
          <w:color w:val="000000"/>
          <w:sz w:val="20"/>
          <w:szCs w:val="20"/>
        </w:rPr>
      </w:pPr>
    </w:p>
    <w:p w:rsidR="00D72414" w:rsidRDefault="00C0362E">
      <w:pPr>
        <w:numPr>
          <w:ilvl w:val="0"/>
          <w:numId w:val="20"/>
        </w:num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0"/>
          <w:szCs w:val="20"/>
        </w:rPr>
        <w:t xml:space="preserve">Arrest Warrants </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0"/>
          <w:numId w:val="20"/>
        </w:numPr>
        <w:pBdr>
          <w:top w:val="nil"/>
          <w:left w:val="nil"/>
          <w:bottom w:val="nil"/>
          <w:right w:val="nil"/>
          <w:between w:val="nil"/>
        </w:pBdr>
        <w:rPr>
          <w:rFonts w:ascii="Arial" w:eastAsia="Arial" w:hAnsi="Arial" w:cs="Arial"/>
          <w:b/>
          <w:color w:val="000000"/>
          <w:sz w:val="22"/>
          <w:szCs w:val="22"/>
        </w:rPr>
      </w:pPr>
      <w:r>
        <w:rPr>
          <w:rFonts w:ascii="Arial" w:eastAsia="Arial" w:hAnsi="Arial" w:cs="Arial"/>
          <w:color w:val="000000"/>
          <w:sz w:val="20"/>
          <w:szCs w:val="20"/>
        </w:rPr>
        <w:t xml:space="preserve">The Charges for Arrest Warrants shall be calculated on a Unit Price per activity in accordance with Table 2 below. The Charges shall be a </w:t>
      </w:r>
      <w:proofErr w:type="gramStart"/>
      <w:r>
        <w:rPr>
          <w:rFonts w:ascii="Arial" w:eastAsia="Arial" w:hAnsi="Arial" w:cs="Arial"/>
          <w:color w:val="000000"/>
          <w:sz w:val="20"/>
          <w:szCs w:val="20"/>
        </w:rPr>
        <w:t>Pass Through</w:t>
      </w:r>
      <w:proofErr w:type="gramEnd"/>
      <w:r>
        <w:rPr>
          <w:rFonts w:ascii="Arial" w:eastAsia="Arial" w:hAnsi="Arial" w:cs="Arial"/>
          <w:color w:val="000000"/>
          <w:sz w:val="20"/>
          <w:szCs w:val="20"/>
        </w:rPr>
        <w:t xml:space="preserve"> Charge from the EA Subcontractor.</w:t>
      </w:r>
    </w:p>
    <w:p w:rsidR="00D72414" w:rsidRDefault="00D72414">
      <w:pPr>
        <w:pBdr>
          <w:top w:val="nil"/>
          <w:left w:val="nil"/>
          <w:bottom w:val="nil"/>
          <w:right w:val="nil"/>
          <w:between w:val="nil"/>
        </w:pBdr>
        <w:ind w:left="720"/>
        <w:rPr>
          <w:rFonts w:ascii="Arial" w:eastAsia="Arial" w:hAnsi="Arial" w:cs="Arial"/>
          <w:b/>
          <w:color w:val="000000"/>
          <w:sz w:val="22"/>
          <w:szCs w:val="22"/>
        </w:rPr>
      </w:pPr>
    </w:p>
    <w:p w:rsidR="00D72414" w:rsidRDefault="00C0362E">
      <w:pPr>
        <w:numPr>
          <w:ilvl w:val="0"/>
          <w:numId w:val="20"/>
        </w:num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Table 2</w:t>
      </w:r>
    </w:p>
    <w:p w:rsidR="00D72414" w:rsidRDefault="00D72414">
      <w:pPr>
        <w:pBdr>
          <w:top w:val="nil"/>
          <w:left w:val="nil"/>
          <w:bottom w:val="nil"/>
          <w:right w:val="nil"/>
          <w:between w:val="nil"/>
        </w:pBdr>
        <w:ind w:left="720"/>
        <w:jc w:val="both"/>
        <w:rPr>
          <w:rFonts w:ascii="Arial" w:eastAsia="Arial" w:hAnsi="Arial" w:cs="Arial"/>
          <w:b/>
          <w:color w:val="000000"/>
          <w:sz w:val="20"/>
          <w:szCs w:val="20"/>
        </w:rPr>
      </w:pPr>
    </w:p>
    <w:tbl>
      <w:tblPr>
        <w:tblStyle w:val="afffff0"/>
        <w:tblW w:w="8589"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4084"/>
        <w:gridCol w:w="4505"/>
      </w:tblGrid>
      <w:tr w:rsidR="00D72414">
        <w:tc>
          <w:tcPr>
            <w:tcW w:w="4084" w:type="dxa"/>
          </w:tcPr>
          <w:p w:rsidR="00D72414" w:rsidRDefault="00C0362E">
            <w:pPr>
              <w:pBdr>
                <w:top w:val="nil"/>
                <w:left w:val="nil"/>
                <w:bottom w:val="nil"/>
                <w:right w:val="nil"/>
                <w:between w:val="nil"/>
              </w:pBdr>
              <w:spacing w:before="240"/>
              <w:ind w:left="720"/>
              <w:jc w:val="both"/>
              <w:rPr>
                <w:rFonts w:ascii="Arial" w:eastAsia="Arial" w:hAnsi="Arial" w:cs="Arial"/>
                <w:b/>
                <w:sz w:val="20"/>
                <w:szCs w:val="20"/>
              </w:rPr>
            </w:pPr>
            <w:r>
              <w:rPr>
                <w:rFonts w:ascii="Arial" w:eastAsia="Arial" w:hAnsi="Arial" w:cs="Arial"/>
                <w:b/>
                <w:sz w:val="20"/>
                <w:szCs w:val="20"/>
              </w:rPr>
              <w:t>URN Activity</w:t>
            </w:r>
          </w:p>
        </w:tc>
        <w:tc>
          <w:tcPr>
            <w:tcW w:w="4505" w:type="dxa"/>
          </w:tcPr>
          <w:p w:rsidR="00D72414" w:rsidRDefault="00C0362E">
            <w:pPr>
              <w:pBdr>
                <w:top w:val="nil"/>
                <w:left w:val="nil"/>
                <w:bottom w:val="nil"/>
                <w:right w:val="nil"/>
                <w:between w:val="nil"/>
              </w:pBdr>
              <w:spacing w:before="240"/>
              <w:ind w:left="720"/>
              <w:jc w:val="both"/>
              <w:rPr>
                <w:rFonts w:ascii="Arial" w:eastAsia="Arial" w:hAnsi="Arial" w:cs="Arial"/>
                <w:b/>
                <w:sz w:val="20"/>
                <w:szCs w:val="20"/>
              </w:rPr>
            </w:pPr>
            <w:r>
              <w:rPr>
                <w:rFonts w:ascii="Arial" w:eastAsia="Arial" w:hAnsi="Arial" w:cs="Arial"/>
                <w:b/>
                <w:sz w:val="20"/>
                <w:szCs w:val="20"/>
              </w:rPr>
              <w:t>Unit Price (£)</w:t>
            </w:r>
          </w:p>
        </w:tc>
      </w:tr>
      <w:tr w:rsidR="00D72414">
        <w:tc>
          <w:tcPr>
            <w:tcW w:w="4084" w:type="dxa"/>
          </w:tcPr>
          <w:p w:rsidR="00D72414" w:rsidRDefault="00C0362E">
            <w:pPr>
              <w:pBdr>
                <w:top w:val="nil"/>
                <w:left w:val="nil"/>
                <w:bottom w:val="nil"/>
                <w:right w:val="nil"/>
                <w:between w:val="nil"/>
              </w:pBdr>
              <w:spacing w:before="240"/>
              <w:ind w:left="720"/>
              <w:jc w:val="both"/>
              <w:rPr>
                <w:rFonts w:ascii="Arial" w:eastAsia="Arial" w:hAnsi="Arial" w:cs="Arial"/>
                <w:sz w:val="20"/>
                <w:szCs w:val="20"/>
              </w:rPr>
            </w:pPr>
            <w:r>
              <w:rPr>
                <w:rFonts w:ascii="Arial" w:eastAsia="Arial" w:hAnsi="Arial" w:cs="Arial"/>
                <w:sz w:val="20"/>
                <w:szCs w:val="20"/>
              </w:rPr>
              <w:t>20.0b Arrest without Bail</w:t>
            </w:r>
          </w:p>
        </w:tc>
        <w:tc>
          <w:tcPr>
            <w:tcW w:w="4505" w:type="dxa"/>
          </w:tcPr>
          <w:p w:rsidR="00D72414" w:rsidRDefault="00D72414">
            <w:pPr>
              <w:pBdr>
                <w:top w:val="nil"/>
                <w:left w:val="nil"/>
                <w:bottom w:val="nil"/>
                <w:right w:val="nil"/>
                <w:between w:val="nil"/>
              </w:pBdr>
              <w:spacing w:before="240"/>
              <w:ind w:left="720"/>
              <w:jc w:val="both"/>
              <w:rPr>
                <w:rFonts w:ascii="Arial" w:eastAsia="Arial" w:hAnsi="Arial" w:cs="Arial"/>
                <w:b/>
                <w:sz w:val="20"/>
                <w:szCs w:val="20"/>
              </w:rPr>
            </w:pPr>
          </w:p>
        </w:tc>
      </w:tr>
      <w:tr w:rsidR="00D72414">
        <w:tc>
          <w:tcPr>
            <w:tcW w:w="4084" w:type="dxa"/>
          </w:tcPr>
          <w:p w:rsidR="00D72414" w:rsidRDefault="00C0362E">
            <w:pPr>
              <w:pBdr>
                <w:top w:val="nil"/>
                <w:left w:val="nil"/>
                <w:bottom w:val="nil"/>
                <w:right w:val="nil"/>
                <w:between w:val="nil"/>
              </w:pBdr>
              <w:spacing w:before="240"/>
              <w:ind w:left="720"/>
              <w:jc w:val="both"/>
              <w:rPr>
                <w:rFonts w:ascii="Arial" w:eastAsia="Arial" w:hAnsi="Arial" w:cs="Arial"/>
                <w:sz w:val="20"/>
                <w:szCs w:val="20"/>
              </w:rPr>
            </w:pPr>
            <w:r>
              <w:rPr>
                <w:rFonts w:ascii="Arial" w:eastAsia="Arial" w:hAnsi="Arial" w:cs="Arial"/>
                <w:sz w:val="20"/>
                <w:szCs w:val="20"/>
              </w:rPr>
              <w:t>20.0c Arrest with Bail</w:t>
            </w:r>
          </w:p>
        </w:tc>
        <w:tc>
          <w:tcPr>
            <w:tcW w:w="4505" w:type="dxa"/>
          </w:tcPr>
          <w:p w:rsidR="00D72414" w:rsidRDefault="00D72414">
            <w:pPr>
              <w:pBdr>
                <w:top w:val="nil"/>
                <w:left w:val="nil"/>
                <w:bottom w:val="nil"/>
                <w:right w:val="nil"/>
                <w:between w:val="nil"/>
              </w:pBdr>
              <w:spacing w:before="240"/>
              <w:ind w:left="720"/>
              <w:jc w:val="both"/>
              <w:rPr>
                <w:rFonts w:ascii="Arial" w:eastAsia="Arial" w:hAnsi="Arial" w:cs="Arial"/>
                <w:b/>
                <w:sz w:val="20"/>
                <w:szCs w:val="20"/>
              </w:rPr>
            </w:pPr>
          </w:p>
        </w:tc>
      </w:tr>
      <w:tr w:rsidR="00D72414">
        <w:tc>
          <w:tcPr>
            <w:tcW w:w="4084" w:type="dxa"/>
          </w:tcPr>
          <w:p w:rsidR="00D72414" w:rsidRDefault="00C0362E">
            <w:pPr>
              <w:pBdr>
                <w:top w:val="nil"/>
                <w:left w:val="nil"/>
                <w:bottom w:val="nil"/>
                <w:right w:val="nil"/>
                <w:between w:val="nil"/>
              </w:pBdr>
              <w:spacing w:before="240"/>
              <w:ind w:left="720"/>
              <w:jc w:val="both"/>
              <w:rPr>
                <w:rFonts w:ascii="Arial" w:eastAsia="Arial" w:hAnsi="Arial" w:cs="Arial"/>
                <w:sz w:val="20"/>
                <w:szCs w:val="20"/>
              </w:rPr>
            </w:pPr>
            <w:r>
              <w:rPr>
                <w:rFonts w:ascii="Arial" w:eastAsia="Arial" w:hAnsi="Arial" w:cs="Arial"/>
                <w:sz w:val="20"/>
                <w:szCs w:val="20"/>
              </w:rPr>
              <w:t xml:space="preserve">20.0d Committal </w:t>
            </w:r>
          </w:p>
        </w:tc>
        <w:tc>
          <w:tcPr>
            <w:tcW w:w="4505" w:type="dxa"/>
          </w:tcPr>
          <w:p w:rsidR="00D72414" w:rsidRDefault="00D72414">
            <w:pPr>
              <w:pBdr>
                <w:top w:val="nil"/>
                <w:left w:val="nil"/>
                <w:bottom w:val="nil"/>
                <w:right w:val="nil"/>
                <w:between w:val="nil"/>
              </w:pBdr>
              <w:spacing w:before="240"/>
              <w:ind w:left="720"/>
              <w:jc w:val="both"/>
              <w:rPr>
                <w:rFonts w:ascii="Arial" w:eastAsia="Arial" w:hAnsi="Arial" w:cs="Arial"/>
                <w:b/>
                <w:sz w:val="20"/>
                <w:szCs w:val="20"/>
              </w:rPr>
            </w:pPr>
          </w:p>
        </w:tc>
      </w:tr>
    </w:tbl>
    <w:p w:rsidR="00D72414" w:rsidRDefault="00C0362E">
      <w:pPr>
        <w:pBdr>
          <w:top w:val="nil"/>
          <w:left w:val="nil"/>
          <w:bottom w:val="nil"/>
          <w:right w:val="nil"/>
          <w:between w:val="nil"/>
        </w:pBdr>
        <w:spacing w:before="240"/>
        <w:ind w:left="720"/>
        <w:jc w:val="both"/>
        <w:rPr>
          <w:rFonts w:ascii="Arial" w:eastAsia="Arial" w:hAnsi="Arial" w:cs="Arial"/>
          <w:b/>
          <w:color w:val="000000"/>
          <w:sz w:val="20"/>
          <w:szCs w:val="20"/>
        </w:rPr>
      </w:pPr>
      <w:r>
        <w:rPr>
          <w:rFonts w:ascii="Arial" w:eastAsia="Arial" w:hAnsi="Arial" w:cs="Arial"/>
          <w:b/>
          <w:color w:val="000000"/>
          <w:sz w:val="20"/>
          <w:szCs w:val="20"/>
        </w:rPr>
        <w:br/>
      </w:r>
    </w:p>
    <w:p w:rsidR="00D72414" w:rsidRDefault="00D72414">
      <w:pPr>
        <w:pBdr>
          <w:top w:val="nil"/>
          <w:left w:val="nil"/>
          <w:bottom w:val="nil"/>
          <w:right w:val="nil"/>
          <w:between w:val="nil"/>
        </w:pBdr>
        <w:ind w:left="360"/>
        <w:jc w:val="both"/>
        <w:rPr>
          <w:rFonts w:ascii="Arial" w:eastAsia="Arial" w:hAnsi="Arial" w:cs="Arial"/>
          <w:b/>
          <w:color w:val="000000"/>
          <w:sz w:val="20"/>
          <w:szCs w:val="20"/>
        </w:rPr>
      </w:pPr>
    </w:p>
    <w:p w:rsidR="00D72414" w:rsidRDefault="00C0362E">
      <w:pPr>
        <w:numPr>
          <w:ilvl w:val="1"/>
          <w:numId w:val="7"/>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International Foreign Registered Vehicle (FRV) Enforcement (Optional Service)</w:t>
      </w:r>
    </w:p>
    <w:p w:rsidR="00D72414" w:rsidRDefault="00C0362E">
      <w:pPr>
        <w:pBdr>
          <w:top w:val="nil"/>
          <w:left w:val="nil"/>
          <w:bottom w:val="nil"/>
          <w:right w:val="nil"/>
          <w:between w:val="nil"/>
        </w:pBdr>
        <w:ind w:left="360"/>
        <w:jc w:val="both"/>
        <w:rPr>
          <w:rFonts w:ascii="Arial" w:eastAsia="Arial" w:hAnsi="Arial" w:cs="Arial"/>
          <w:b/>
          <w:color w:val="FF0000"/>
          <w:sz w:val="20"/>
          <w:szCs w:val="20"/>
        </w:rPr>
      </w:pPr>
      <w:r>
        <w:rPr>
          <w:rFonts w:ascii="Arial" w:eastAsia="Arial" w:hAnsi="Arial" w:cs="Arial"/>
          <w:b/>
          <w:color w:val="000000"/>
          <w:sz w:val="20"/>
          <w:szCs w:val="20"/>
        </w:rPr>
        <w:t xml:space="preserve"> </w:t>
      </w:r>
    </w:p>
    <w:p w:rsidR="00D72414" w:rsidRDefault="00C0362E">
      <w:pPr>
        <w:numPr>
          <w:ilvl w:val="2"/>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Charges for International FRV Enforcement shall be calculated on a Commission Price and Unit price basis as set out in Table 3 below</w:t>
      </w:r>
    </w:p>
    <w:p w:rsidR="00D72414" w:rsidRDefault="00C0362E">
      <w:pPr>
        <w:pBdr>
          <w:top w:val="nil"/>
          <w:left w:val="nil"/>
          <w:bottom w:val="nil"/>
          <w:right w:val="nil"/>
          <w:between w:val="nil"/>
        </w:pBdr>
        <w:ind w:left="720"/>
        <w:jc w:val="both"/>
        <w:rPr>
          <w:rFonts w:ascii="Arial" w:eastAsia="Arial" w:hAnsi="Arial" w:cs="Arial"/>
          <w:color w:val="000000"/>
          <w:sz w:val="20"/>
          <w:szCs w:val="20"/>
        </w:rPr>
      </w:pPr>
      <w:r>
        <w:rPr>
          <w:rFonts w:ascii="Arial" w:eastAsia="Arial" w:hAnsi="Arial" w:cs="Arial"/>
          <w:color w:val="000000"/>
          <w:sz w:val="20"/>
          <w:szCs w:val="20"/>
        </w:rPr>
        <w:t xml:space="preserve"> </w:t>
      </w:r>
    </w:p>
    <w:p w:rsidR="00D72414" w:rsidRDefault="00C0362E">
      <w:pPr>
        <w:numPr>
          <w:ilvl w:val="2"/>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The Supplier shall provide a list of those countries of origin of registered keepers within which it can provide the Service, and the Supplier shall provide both a) Commission Price and b) Unit Price for each such country of origin. The Supplier shall populate Table 1 below with these details.</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2"/>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Buyer at </w:t>
      </w:r>
      <w:proofErr w:type="spellStart"/>
      <w:proofErr w:type="gramStart"/>
      <w:r>
        <w:rPr>
          <w:rFonts w:ascii="Arial" w:eastAsia="Arial" w:hAnsi="Arial" w:cs="Arial"/>
          <w:color w:val="000000"/>
          <w:sz w:val="20"/>
          <w:szCs w:val="20"/>
        </w:rPr>
        <w:t>it’s</w:t>
      </w:r>
      <w:proofErr w:type="spellEnd"/>
      <w:proofErr w:type="gramEnd"/>
      <w:r>
        <w:rPr>
          <w:rFonts w:ascii="Arial" w:eastAsia="Arial" w:hAnsi="Arial" w:cs="Arial"/>
          <w:color w:val="000000"/>
          <w:sz w:val="20"/>
          <w:szCs w:val="20"/>
        </w:rPr>
        <w:t xml:space="preserve"> absolute discretion may select either the Commission Price or the Fixed Price for the Service</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2"/>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Commission Price Charges for this Service will be calculated as a percentage (%) of the gross value of Debt Collected by the Supplier through delivering this Service. </w:t>
      </w:r>
    </w:p>
    <w:p w:rsidR="00D72414" w:rsidRDefault="00D72414">
      <w:pPr>
        <w:pBdr>
          <w:top w:val="nil"/>
          <w:left w:val="nil"/>
          <w:bottom w:val="nil"/>
          <w:right w:val="nil"/>
          <w:between w:val="nil"/>
        </w:pBdr>
        <w:ind w:left="720"/>
        <w:rPr>
          <w:rFonts w:ascii="Arial" w:eastAsia="Arial" w:hAnsi="Arial" w:cs="Arial"/>
          <w:color w:val="000000"/>
          <w:sz w:val="20"/>
          <w:szCs w:val="20"/>
        </w:rPr>
      </w:pPr>
    </w:p>
    <w:p w:rsidR="00D72414" w:rsidRDefault="00C0362E">
      <w:pPr>
        <w:numPr>
          <w:ilvl w:val="2"/>
          <w:numId w:val="7"/>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The Unit Price Charges for this Service will be calculated by multiplying the number of Accounts Placed by the relevant Unit Price. </w:t>
      </w:r>
    </w:p>
    <w:p w:rsidR="00D72414" w:rsidRDefault="00C0362E">
      <w:pPr>
        <w:pBdr>
          <w:top w:val="nil"/>
          <w:left w:val="nil"/>
          <w:bottom w:val="nil"/>
          <w:right w:val="nil"/>
          <w:between w:val="nil"/>
        </w:pBdr>
        <w:spacing w:before="240"/>
        <w:jc w:val="both"/>
        <w:rPr>
          <w:rFonts w:ascii="Arial" w:eastAsia="Arial" w:hAnsi="Arial" w:cs="Arial"/>
          <w:b/>
          <w:sz w:val="20"/>
          <w:szCs w:val="20"/>
        </w:rPr>
      </w:pPr>
      <w:r>
        <w:rPr>
          <w:rFonts w:ascii="Arial" w:eastAsia="Arial" w:hAnsi="Arial" w:cs="Arial"/>
          <w:b/>
          <w:sz w:val="20"/>
          <w:szCs w:val="20"/>
        </w:rPr>
        <w:t xml:space="preserve">Table 3 </w:t>
      </w:r>
    </w:p>
    <w:p w:rsidR="00D72414" w:rsidRDefault="00D72414">
      <w:pPr>
        <w:pBdr>
          <w:top w:val="nil"/>
          <w:left w:val="nil"/>
          <w:bottom w:val="nil"/>
          <w:right w:val="nil"/>
          <w:between w:val="nil"/>
        </w:pBdr>
        <w:spacing w:before="240"/>
        <w:ind w:left="720"/>
        <w:jc w:val="both"/>
        <w:rPr>
          <w:rFonts w:ascii="Arial" w:eastAsia="Arial" w:hAnsi="Arial" w:cs="Arial"/>
          <w:b/>
          <w:color w:val="000000"/>
          <w:sz w:val="20"/>
          <w:szCs w:val="20"/>
        </w:rPr>
      </w:pPr>
    </w:p>
    <w:tbl>
      <w:tblPr>
        <w:tblStyle w:val="afffff1"/>
        <w:tblW w:w="7959"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4505"/>
        <w:gridCol w:w="1727"/>
        <w:gridCol w:w="1727"/>
      </w:tblGrid>
      <w:tr w:rsidR="00D72414">
        <w:tc>
          <w:tcPr>
            <w:tcW w:w="4505"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(URN ) 5.0d Registered Keeper’s Country of Origin</w:t>
            </w:r>
          </w:p>
        </w:tc>
        <w:tc>
          <w:tcPr>
            <w:tcW w:w="1727"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Commission Price %</w:t>
            </w:r>
          </w:p>
        </w:tc>
        <w:tc>
          <w:tcPr>
            <w:tcW w:w="1727" w:type="dxa"/>
          </w:tcPr>
          <w:p w:rsidR="00D72414" w:rsidRDefault="00C0362E">
            <w:pPr>
              <w:spacing w:before="240"/>
              <w:jc w:val="both"/>
              <w:rPr>
                <w:rFonts w:ascii="Arial" w:eastAsia="Arial" w:hAnsi="Arial" w:cs="Arial"/>
                <w:b/>
                <w:sz w:val="20"/>
                <w:szCs w:val="20"/>
              </w:rPr>
            </w:pPr>
            <w:r>
              <w:rPr>
                <w:rFonts w:ascii="Arial" w:eastAsia="Arial" w:hAnsi="Arial" w:cs="Arial"/>
                <w:b/>
                <w:sz w:val="20"/>
                <w:szCs w:val="20"/>
              </w:rPr>
              <w:t>Unit Price £</w:t>
            </w:r>
          </w:p>
        </w:tc>
      </w:tr>
      <w:tr w:rsidR="00D72414">
        <w:tc>
          <w:tcPr>
            <w:tcW w:w="4505" w:type="dxa"/>
          </w:tcPr>
          <w:p w:rsidR="00D72414" w:rsidRDefault="00D72414">
            <w:pPr>
              <w:spacing w:before="240"/>
              <w:jc w:val="both"/>
              <w:rPr>
                <w:rFonts w:ascii="Arial" w:eastAsia="Arial" w:hAnsi="Arial" w:cs="Arial"/>
                <w:sz w:val="20"/>
                <w:szCs w:val="20"/>
              </w:rPr>
            </w:pPr>
          </w:p>
        </w:tc>
        <w:tc>
          <w:tcPr>
            <w:tcW w:w="1727" w:type="dxa"/>
          </w:tcPr>
          <w:p w:rsidR="00D72414" w:rsidRDefault="00D72414">
            <w:pPr>
              <w:spacing w:before="240"/>
              <w:jc w:val="both"/>
              <w:rPr>
                <w:rFonts w:ascii="Arial" w:eastAsia="Arial" w:hAnsi="Arial" w:cs="Arial"/>
                <w:sz w:val="20"/>
                <w:szCs w:val="20"/>
              </w:rPr>
            </w:pPr>
          </w:p>
        </w:tc>
        <w:tc>
          <w:tcPr>
            <w:tcW w:w="1727" w:type="dxa"/>
          </w:tcPr>
          <w:p w:rsidR="00D72414" w:rsidRDefault="00D72414">
            <w:pPr>
              <w:spacing w:before="240"/>
              <w:jc w:val="both"/>
              <w:rPr>
                <w:rFonts w:ascii="Arial" w:eastAsia="Arial" w:hAnsi="Arial" w:cs="Arial"/>
                <w:sz w:val="20"/>
                <w:szCs w:val="20"/>
              </w:rPr>
            </w:pPr>
          </w:p>
        </w:tc>
      </w:tr>
    </w:tbl>
    <w:p w:rsidR="00D72414" w:rsidRDefault="00D72414">
      <w:pPr>
        <w:pBdr>
          <w:top w:val="nil"/>
          <w:left w:val="nil"/>
          <w:bottom w:val="nil"/>
          <w:right w:val="nil"/>
          <w:between w:val="nil"/>
        </w:pBdr>
        <w:ind w:left="360"/>
        <w:rPr>
          <w:rFonts w:ascii="Arial" w:eastAsia="Arial" w:hAnsi="Arial" w:cs="Arial"/>
          <w:b/>
          <w:color w:val="000000"/>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C0362E">
      <w:pPr>
        <w:rPr>
          <w:rFonts w:ascii="Arial" w:eastAsia="Arial" w:hAnsi="Arial" w:cs="Arial"/>
          <w:b/>
          <w:sz w:val="22"/>
          <w:szCs w:val="22"/>
        </w:rPr>
      </w:pPr>
      <w:r>
        <w:rPr>
          <w:rFonts w:ascii="Arial" w:eastAsia="Arial" w:hAnsi="Arial" w:cs="Arial"/>
          <w:b/>
          <w:sz w:val="22"/>
          <w:szCs w:val="22"/>
        </w:rPr>
        <w:t>Appendix 1</w:t>
      </w:r>
    </w:p>
    <w:p w:rsidR="00D72414" w:rsidRDefault="00D72414">
      <w:pPr>
        <w:rPr>
          <w:rFonts w:ascii="Arial" w:eastAsia="Arial" w:hAnsi="Arial" w:cs="Arial"/>
          <w:b/>
          <w:sz w:val="22"/>
          <w:szCs w:val="22"/>
        </w:rPr>
      </w:pPr>
    </w:p>
    <w:p w:rsidR="00D72414" w:rsidRDefault="00C0362E">
      <w:pPr>
        <w:pBdr>
          <w:top w:val="nil"/>
          <w:left w:val="nil"/>
          <w:bottom w:val="nil"/>
          <w:right w:val="nil"/>
          <w:between w:val="nil"/>
        </w:pBdr>
        <w:spacing w:before="240"/>
        <w:jc w:val="both"/>
        <w:rPr>
          <w:rFonts w:ascii="Arial" w:eastAsia="Arial" w:hAnsi="Arial" w:cs="Arial"/>
          <w:b/>
          <w:sz w:val="20"/>
          <w:szCs w:val="20"/>
        </w:rPr>
      </w:pPr>
      <w:r>
        <w:rPr>
          <w:rFonts w:ascii="Arial" w:eastAsia="Arial" w:hAnsi="Arial" w:cs="Arial"/>
          <w:b/>
          <w:sz w:val="20"/>
          <w:szCs w:val="20"/>
        </w:rPr>
        <w:t>Charge for Change and Set-up Charge</w:t>
      </w:r>
    </w:p>
    <w:p w:rsidR="00D72414" w:rsidRDefault="00D72414">
      <w:pPr>
        <w:pBdr>
          <w:top w:val="nil"/>
          <w:left w:val="nil"/>
          <w:bottom w:val="nil"/>
          <w:right w:val="nil"/>
          <w:between w:val="nil"/>
        </w:pBdr>
        <w:spacing w:before="240"/>
        <w:jc w:val="both"/>
        <w:rPr>
          <w:rFonts w:ascii="Arial" w:eastAsia="Arial" w:hAnsi="Arial" w:cs="Arial"/>
          <w:b/>
          <w:sz w:val="20"/>
          <w:szCs w:val="20"/>
        </w:rPr>
      </w:pPr>
    </w:p>
    <w:tbl>
      <w:tblPr>
        <w:tblStyle w:val="afffff2"/>
        <w:tblW w:w="12469"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846"/>
        <w:gridCol w:w="709"/>
        <w:gridCol w:w="708"/>
        <w:gridCol w:w="709"/>
        <w:gridCol w:w="709"/>
        <w:gridCol w:w="709"/>
        <w:gridCol w:w="683"/>
        <w:gridCol w:w="1868"/>
        <w:gridCol w:w="1985"/>
        <w:gridCol w:w="2268"/>
        <w:gridCol w:w="1275"/>
      </w:tblGrid>
      <w:tr w:rsidR="00D72414">
        <w:trPr>
          <w:trHeight w:val="573"/>
        </w:trPr>
        <w:tc>
          <w:tcPr>
            <w:tcW w:w="5073" w:type="dxa"/>
            <w:gridSpan w:val="7"/>
            <w:tcBorders>
              <w:top w:val="single" w:sz="4" w:space="0" w:color="000000"/>
              <w:left w:val="single" w:sz="4" w:space="0" w:color="000000"/>
              <w:bottom w:val="single" w:sz="4" w:space="0" w:color="000000"/>
              <w:right w:val="single" w:sz="4" w:space="0" w:color="000000"/>
            </w:tcBorders>
            <w:shd w:val="clear" w:color="auto" w:fill="E7E6E6"/>
            <w:vAlign w:val="center"/>
          </w:tcPr>
          <w:p w:rsidR="00D72414" w:rsidRDefault="00C0362E">
            <w:pPr>
              <w:rPr>
                <w:rFonts w:ascii="Arial" w:eastAsia="Arial" w:hAnsi="Arial" w:cs="Arial"/>
                <w:b/>
                <w:sz w:val="18"/>
                <w:szCs w:val="18"/>
              </w:rPr>
            </w:pPr>
            <w:r>
              <w:rPr>
                <w:rFonts w:ascii="Arial" w:eastAsia="Arial" w:hAnsi="Arial" w:cs="Arial"/>
                <w:b/>
                <w:sz w:val="18"/>
                <w:szCs w:val="18"/>
              </w:rPr>
              <w:t>Applicable Levels  - Price per ½ day (1/2 Day Rate) to the nearest £10</w:t>
            </w:r>
          </w:p>
        </w:tc>
        <w:tc>
          <w:tcPr>
            <w:tcW w:w="1868" w:type="dxa"/>
            <w:tcBorders>
              <w:top w:val="single" w:sz="4" w:space="0" w:color="000000"/>
              <w:left w:val="nil"/>
              <w:bottom w:val="single" w:sz="4" w:space="0" w:color="000000"/>
              <w:right w:val="single" w:sz="4" w:space="0" w:color="000000"/>
            </w:tcBorders>
            <w:shd w:val="clear" w:color="auto" w:fill="E7E6E6"/>
          </w:tcPr>
          <w:p w:rsidR="00D72414" w:rsidRDefault="00C0362E">
            <w:pPr>
              <w:rPr>
                <w:rFonts w:ascii="Arial" w:eastAsia="Arial" w:hAnsi="Arial" w:cs="Arial"/>
                <w:b/>
                <w:sz w:val="18"/>
                <w:szCs w:val="18"/>
              </w:rPr>
            </w:pPr>
            <w:r>
              <w:rPr>
                <w:rFonts w:ascii="Arial" w:eastAsia="Arial" w:hAnsi="Arial" w:cs="Arial"/>
                <w:b/>
                <w:sz w:val="18"/>
                <w:szCs w:val="18"/>
              </w:rPr>
              <w:t>Category</w:t>
            </w:r>
          </w:p>
        </w:tc>
        <w:tc>
          <w:tcPr>
            <w:tcW w:w="1985" w:type="dxa"/>
            <w:tcBorders>
              <w:top w:val="single" w:sz="4" w:space="0" w:color="000000"/>
              <w:left w:val="nil"/>
              <w:bottom w:val="single" w:sz="4" w:space="0" w:color="000000"/>
              <w:right w:val="single" w:sz="4" w:space="0" w:color="000000"/>
            </w:tcBorders>
            <w:shd w:val="clear" w:color="auto" w:fill="E7E6E6"/>
          </w:tcPr>
          <w:p w:rsidR="00D72414" w:rsidRDefault="00C0362E">
            <w:pPr>
              <w:rPr>
                <w:rFonts w:ascii="Arial" w:eastAsia="Arial" w:hAnsi="Arial" w:cs="Arial"/>
                <w:b/>
                <w:sz w:val="18"/>
                <w:szCs w:val="18"/>
              </w:rPr>
            </w:pPr>
            <w:r>
              <w:rPr>
                <w:rFonts w:ascii="Arial" w:eastAsia="Arial" w:hAnsi="Arial" w:cs="Arial"/>
                <w:b/>
                <w:sz w:val="18"/>
                <w:szCs w:val="18"/>
              </w:rPr>
              <w:t>Subcategory</w:t>
            </w:r>
          </w:p>
        </w:tc>
        <w:tc>
          <w:tcPr>
            <w:tcW w:w="2268" w:type="dxa"/>
            <w:tcBorders>
              <w:top w:val="single" w:sz="4" w:space="0" w:color="000000"/>
              <w:left w:val="nil"/>
              <w:bottom w:val="single" w:sz="4" w:space="0" w:color="000000"/>
              <w:right w:val="single" w:sz="4" w:space="0" w:color="000000"/>
            </w:tcBorders>
            <w:shd w:val="clear" w:color="auto" w:fill="E7E6E6"/>
          </w:tcPr>
          <w:p w:rsidR="00D72414" w:rsidRDefault="00C0362E">
            <w:pPr>
              <w:rPr>
                <w:rFonts w:ascii="Arial" w:eastAsia="Arial" w:hAnsi="Arial" w:cs="Arial"/>
                <w:b/>
                <w:sz w:val="18"/>
                <w:szCs w:val="18"/>
              </w:rPr>
            </w:pPr>
            <w:r>
              <w:rPr>
                <w:rFonts w:ascii="Arial" w:eastAsia="Arial" w:hAnsi="Arial" w:cs="Arial"/>
                <w:b/>
                <w:sz w:val="18"/>
                <w:szCs w:val="18"/>
              </w:rPr>
              <w:t>Skill</w:t>
            </w:r>
          </w:p>
        </w:tc>
        <w:tc>
          <w:tcPr>
            <w:tcW w:w="1275" w:type="dxa"/>
            <w:tcBorders>
              <w:top w:val="single" w:sz="4" w:space="0" w:color="000000"/>
              <w:left w:val="nil"/>
              <w:bottom w:val="single" w:sz="4" w:space="0" w:color="000000"/>
              <w:right w:val="single" w:sz="4" w:space="0" w:color="000000"/>
            </w:tcBorders>
            <w:shd w:val="clear" w:color="auto" w:fill="E7E6E6"/>
          </w:tcPr>
          <w:p w:rsidR="00D72414" w:rsidRDefault="00C0362E">
            <w:pPr>
              <w:rPr>
                <w:rFonts w:ascii="Arial" w:eastAsia="Arial" w:hAnsi="Arial" w:cs="Arial"/>
                <w:b/>
                <w:sz w:val="18"/>
                <w:szCs w:val="18"/>
              </w:rPr>
            </w:pPr>
            <w:r>
              <w:rPr>
                <w:rFonts w:ascii="Arial" w:eastAsia="Arial" w:hAnsi="Arial" w:cs="Arial"/>
                <w:b/>
                <w:sz w:val="18"/>
                <w:szCs w:val="18"/>
              </w:rPr>
              <w:t>Code</w:t>
            </w:r>
          </w:p>
        </w:tc>
      </w:tr>
      <w:tr w:rsidR="00D72414">
        <w:trPr>
          <w:trHeight w:val="690"/>
        </w:trPr>
        <w:tc>
          <w:tcPr>
            <w:tcW w:w="846" w:type="dxa"/>
            <w:tcBorders>
              <w:top w:val="nil"/>
              <w:left w:val="single" w:sz="4" w:space="0" w:color="000000"/>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 </w:t>
            </w:r>
          </w:p>
        </w:tc>
        <w:tc>
          <w:tcPr>
            <w:tcW w:w="708" w:type="dxa"/>
            <w:tcBorders>
              <w:top w:val="nil"/>
              <w:left w:val="nil"/>
              <w:bottom w:val="single" w:sz="4" w:space="0" w:color="000000"/>
              <w:right w:val="single" w:sz="4" w:space="0" w:color="000000"/>
            </w:tcBorders>
            <w:shd w:val="clear" w:color="auto" w:fill="FAF0F7"/>
          </w:tcPr>
          <w:p w:rsidR="00D72414" w:rsidRDefault="00C0362E">
            <w:pPr>
              <w:jc w:val="right"/>
              <w:rPr>
                <w:rFonts w:ascii="Arial" w:eastAsia="Arial" w:hAnsi="Arial" w:cs="Arial"/>
                <w:sz w:val="18"/>
                <w:szCs w:val="18"/>
              </w:rPr>
            </w:pPr>
            <w:r>
              <w:rPr>
                <w:rFonts w:ascii="Arial" w:eastAsia="Arial" w:hAnsi="Arial" w:cs="Arial"/>
                <w:sz w:val="18"/>
                <w:szCs w:val="18"/>
              </w:rPr>
              <w:t>3</w:t>
            </w:r>
          </w:p>
        </w:tc>
        <w:tc>
          <w:tcPr>
            <w:tcW w:w="709" w:type="dxa"/>
            <w:tcBorders>
              <w:top w:val="nil"/>
              <w:left w:val="nil"/>
              <w:bottom w:val="single" w:sz="4" w:space="0" w:color="000000"/>
              <w:right w:val="single" w:sz="4" w:space="0" w:color="000000"/>
            </w:tcBorders>
            <w:shd w:val="clear" w:color="auto" w:fill="FAF0F7"/>
          </w:tcPr>
          <w:p w:rsidR="00D72414" w:rsidRDefault="00C0362E">
            <w:pPr>
              <w:jc w:val="right"/>
              <w:rPr>
                <w:rFonts w:ascii="Arial" w:eastAsia="Arial" w:hAnsi="Arial" w:cs="Arial"/>
                <w:sz w:val="18"/>
                <w:szCs w:val="18"/>
              </w:rPr>
            </w:pPr>
            <w:r>
              <w:rPr>
                <w:rFonts w:ascii="Arial" w:eastAsia="Arial" w:hAnsi="Arial" w:cs="Arial"/>
                <w:sz w:val="18"/>
                <w:szCs w:val="18"/>
              </w:rPr>
              <w:t>4</w:t>
            </w:r>
          </w:p>
        </w:tc>
        <w:tc>
          <w:tcPr>
            <w:tcW w:w="709" w:type="dxa"/>
            <w:tcBorders>
              <w:top w:val="nil"/>
              <w:left w:val="nil"/>
              <w:bottom w:val="single" w:sz="4" w:space="0" w:color="000000"/>
              <w:right w:val="single" w:sz="4" w:space="0" w:color="000000"/>
            </w:tcBorders>
            <w:shd w:val="clear" w:color="auto" w:fill="FAF0F7"/>
          </w:tcPr>
          <w:p w:rsidR="00D72414" w:rsidRDefault="00C0362E">
            <w:pPr>
              <w:jc w:val="right"/>
              <w:rPr>
                <w:rFonts w:ascii="Arial" w:eastAsia="Arial" w:hAnsi="Arial" w:cs="Arial"/>
                <w:sz w:val="18"/>
                <w:szCs w:val="18"/>
              </w:rPr>
            </w:pPr>
            <w:r>
              <w:rPr>
                <w:rFonts w:ascii="Arial" w:eastAsia="Arial" w:hAnsi="Arial" w:cs="Arial"/>
                <w:sz w:val="18"/>
                <w:szCs w:val="18"/>
              </w:rPr>
              <w:t>5</w:t>
            </w:r>
          </w:p>
        </w:tc>
        <w:tc>
          <w:tcPr>
            <w:tcW w:w="709" w:type="dxa"/>
            <w:tcBorders>
              <w:top w:val="nil"/>
              <w:left w:val="nil"/>
              <w:bottom w:val="single" w:sz="4" w:space="0" w:color="000000"/>
              <w:right w:val="single" w:sz="4" w:space="0" w:color="000000"/>
            </w:tcBorders>
            <w:shd w:val="clear" w:color="auto" w:fill="FAF0F7"/>
          </w:tcPr>
          <w:p w:rsidR="00D72414" w:rsidRDefault="00C0362E">
            <w:pPr>
              <w:jc w:val="right"/>
              <w:rPr>
                <w:rFonts w:ascii="Arial" w:eastAsia="Arial" w:hAnsi="Arial" w:cs="Arial"/>
                <w:sz w:val="18"/>
                <w:szCs w:val="18"/>
              </w:rPr>
            </w:pPr>
            <w:r>
              <w:rPr>
                <w:rFonts w:ascii="Arial" w:eastAsia="Arial" w:hAnsi="Arial" w:cs="Arial"/>
                <w:sz w:val="18"/>
                <w:szCs w:val="18"/>
              </w:rPr>
              <w:t>6</w:t>
            </w:r>
          </w:p>
        </w:tc>
        <w:tc>
          <w:tcPr>
            <w:tcW w:w="683"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 </w:t>
            </w:r>
          </w:p>
        </w:tc>
        <w:tc>
          <w:tcPr>
            <w:tcW w:w="1868"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Change and transformation</w:t>
            </w:r>
          </w:p>
        </w:tc>
        <w:tc>
          <w:tcPr>
            <w:tcW w:w="1985"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Business change management</w:t>
            </w:r>
          </w:p>
        </w:tc>
        <w:tc>
          <w:tcPr>
            <w:tcW w:w="2268"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Business analysis</w:t>
            </w:r>
          </w:p>
        </w:tc>
        <w:tc>
          <w:tcPr>
            <w:tcW w:w="1275"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BUAN</w:t>
            </w:r>
          </w:p>
        </w:tc>
      </w:tr>
      <w:tr w:rsidR="00D72414">
        <w:trPr>
          <w:trHeight w:val="810"/>
        </w:trPr>
        <w:tc>
          <w:tcPr>
            <w:tcW w:w="846" w:type="dxa"/>
            <w:tcBorders>
              <w:top w:val="nil"/>
              <w:left w:val="single" w:sz="4" w:space="0" w:color="000000"/>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AF0F7"/>
          </w:tcPr>
          <w:p w:rsidR="00D72414" w:rsidRDefault="00C0362E">
            <w:pPr>
              <w:jc w:val="right"/>
              <w:rPr>
                <w:rFonts w:ascii="Arial" w:eastAsia="Arial" w:hAnsi="Arial" w:cs="Arial"/>
                <w:sz w:val="18"/>
                <w:szCs w:val="18"/>
              </w:rPr>
            </w:pPr>
            <w:r>
              <w:rPr>
                <w:rFonts w:ascii="Arial" w:eastAsia="Arial" w:hAnsi="Arial" w:cs="Arial"/>
                <w:sz w:val="18"/>
                <w:szCs w:val="18"/>
              </w:rPr>
              <w:t>2</w:t>
            </w:r>
          </w:p>
        </w:tc>
        <w:tc>
          <w:tcPr>
            <w:tcW w:w="708" w:type="dxa"/>
            <w:tcBorders>
              <w:top w:val="nil"/>
              <w:left w:val="nil"/>
              <w:bottom w:val="single" w:sz="4" w:space="0" w:color="000000"/>
              <w:right w:val="single" w:sz="4" w:space="0" w:color="000000"/>
            </w:tcBorders>
            <w:shd w:val="clear" w:color="auto" w:fill="FAF0F7"/>
          </w:tcPr>
          <w:p w:rsidR="00D72414" w:rsidRDefault="00C0362E">
            <w:pPr>
              <w:jc w:val="right"/>
              <w:rPr>
                <w:rFonts w:ascii="Arial" w:eastAsia="Arial" w:hAnsi="Arial" w:cs="Arial"/>
                <w:sz w:val="18"/>
                <w:szCs w:val="18"/>
              </w:rPr>
            </w:pPr>
            <w:r>
              <w:rPr>
                <w:rFonts w:ascii="Arial" w:eastAsia="Arial" w:hAnsi="Arial" w:cs="Arial"/>
                <w:sz w:val="18"/>
                <w:szCs w:val="18"/>
              </w:rPr>
              <w:t>3</w:t>
            </w:r>
          </w:p>
        </w:tc>
        <w:tc>
          <w:tcPr>
            <w:tcW w:w="709" w:type="dxa"/>
            <w:tcBorders>
              <w:top w:val="nil"/>
              <w:left w:val="nil"/>
              <w:bottom w:val="single" w:sz="4" w:space="0" w:color="000000"/>
              <w:right w:val="single" w:sz="4" w:space="0" w:color="000000"/>
            </w:tcBorders>
            <w:shd w:val="clear" w:color="auto" w:fill="FAF0F7"/>
          </w:tcPr>
          <w:p w:rsidR="00D72414" w:rsidRDefault="00C0362E">
            <w:pPr>
              <w:jc w:val="right"/>
              <w:rPr>
                <w:rFonts w:ascii="Arial" w:eastAsia="Arial" w:hAnsi="Arial" w:cs="Arial"/>
                <w:sz w:val="18"/>
                <w:szCs w:val="18"/>
              </w:rPr>
            </w:pPr>
            <w:r>
              <w:rPr>
                <w:rFonts w:ascii="Arial" w:eastAsia="Arial" w:hAnsi="Arial" w:cs="Arial"/>
                <w:sz w:val="18"/>
                <w:szCs w:val="18"/>
              </w:rPr>
              <w:t>4</w:t>
            </w:r>
          </w:p>
        </w:tc>
        <w:tc>
          <w:tcPr>
            <w:tcW w:w="709" w:type="dxa"/>
            <w:tcBorders>
              <w:top w:val="nil"/>
              <w:left w:val="nil"/>
              <w:bottom w:val="single" w:sz="4" w:space="0" w:color="000000"/>
              <w:right w:val="single" w:sz="4" w:space="0" w:color="000000"/>
            </w:tcBorders>
            <w:shd w:val="clear" w:color="auto" w:fill="FAF0F7"/>
          </w:tcPr>
          <w:p w:rsidR="00D72414" w:rsidRDefault="00C0362E">
            <w:pPr>
              <w:jc w:val="right"/>
              <w:rPr>
                <w:rFonts w:ascii="Arial" w:eastAsia="Arial" w:hAnsi="Arial" w:cs="Arial"/>
                <w:sz w:val="18"/>
                <w:szCs w:val="18"/>
              </w:rPr>
            </w:pPr>
            <w:r>
              <w:rPr>
                <w:rFonts w:ascii="Arial" w:eastAsia="Arial" w:hAnsi="Arial" w:cs="Arial"/>
                <w:sz w:val="18"/>
                <w:szCs w:val="18"/>
              </w:rPr>
              <w:t>5</w:t>
            </w:r>
          </w:p>
        </w:tc>
        <w:tc>
          <w:tcPr>
            <w:tcW w:w="709" w:type="dxa"/>
            <w:tcBorders>
              <w:top w:val="nil"/>
              <w:left w:val="nil"/>
              <w:bottom w:val="single" w:sz="4" w:space="0" w:color="000000"/>
              <w:right w:val="single" w:sz="4" w:space="0" w:color="000000"/>
            </w:tcBorders>
            <w:shd w:val="clear" w:color="auto" w:fill="FAF0F7"/>
          </w:tcPr>
          <w:p w:rsidR="00D72414" w:rsidRDefault="00C0362E">
            <w:pPr>
              <w:jc w:val="right"/>
              <w:rPr>
                <w:rFonts w:ascii="Arial" w:eastAsia="Arial" w:hAnsi="Arial" w:cs="Arial"/>
                <w:sz w:val="18"/>
                <w:szCs w:val="18"/>
              </w:rPr>
            </w:pPr>
            <w:r>
              <w:rPr>
                <w:rFonts w:ascii="Arial" w:eastAsia="Arial" w:hAnsi="Arial" w:cs="Arial"/>
                <w:sz w:val="18"/>
                <w:szCs w:val="18"/>
              </w:rPr>
              <w:t>6</w:t>
            </w:r>
          </w:p>
        </w:tc>
        <w:tc>
          <w:tcPr>
            <w:tcW w:w="683"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 </w:t>
            </w:r>
          </w:p>
        </w:tc>
        <w:tc>
          <w:tcPr>
            <w:tcW w:w="1868"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Change and transformation</w:t>
            </w:r>
          </w:p>
        </w:tc>
        <w:tc>
          <w:tcPr>
            <w:tcW w:w="1985"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Business change management</w:t>
            </w:r>
          </w:p>
        </w:tc>
        <w:tc>
          <w:tcPr>
            <w:tcW w:w="2268"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Requirements definition and management</w:t>
            </w:r>
          </w:p>
        </w:tc>
        <w:tc>
          <w:tcPr>
            <w:tcW w:w="1275"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REQM</w:t>
            </w:r>
          </w:p>
        </w:tc>
      </w:tr>
      <w:tr w:rsidR="00D72414">
        <w:trPr>
          <w:trHeight w:val="890"/>
        </w:trPr>
        <w:tc>
          <w:tcPr>
            <w:tcW w:w="846" w:type="dxa"/>
            <w:tcBorders>
              <w:top w:val="nil"/>
              <w:left w:val="single" w:sz="4" w:space="0" w:color="000000"/>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 </w:t>
            </w:r>
          </w:p>
        </w:tc>
        <w:tc>
          <w:tcPr>
            <w:tcW w:w="708"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AF0F7"/>
          </w:tcPr>
          <w:p w:rsidR="00D72414" w:rsidRDefault="00C0362E">
            <w:pPr>
              <w:jc w:val="right"/>
              <w:rPr>
                <w:rFonts w:ascii="Arial" w:eastAsia="Arial" w:hAnsi="Arial" w:cs="Arial"/>
                <w:sz w:val="18"/>
                <w:szCs w:val="18"/>
              </w:rPr>
            </w:pPr>
            <w:r>
              <w:rPr>
                <w:rFonts w:ascii="Arial" w:eastAsia="Arial" w:hAnsi="Arial" w:cs="Arial"/>
                <w:sz w:val="18"/>
                <w:szCs w:val="18"/>
              </w:rPr>
              <w:t>5</w:t>
            </w:r>
          </w:p>
        </w:tc>
        <w:tc>
          <w:tcPr>
            <w:tcW w:w="709" w:type="dxa"/>
            <w:tcBorders>
              <w:top w:val="nil"/>
              <w:left w:val="nil"/>
              <w:bottom w:val="single" w:sz="4" w:space="0" w:color="000000"/>
              <w:right w:val="single" w:sz="4" w:space="0" w:color="000000"/>
            </w:tcBorders>
            <w:shd w:val="clear" w:color="auto" w:fill="FAF0F7"/>
          </w:tcPr>
          <w:p w:rsidR="00D72414" w:rsidRDefault="00C0362E">
            <w:pPr>
              <w:jc w:val="right"/>
              <w:rPr>
                <w:rFonts w:ascii="Arial" w:eastAsia="Arial" w:hAnsi="Arial" w:cs="Arial"/>
                <w:sz w:val="18"/>
                <w:szCs w:val="18"/>
              </w:rPr>
            </w:pPr>
            <w:r>
              <w:rPr>
                <w:rFonts w:ascii="Arial" w:eastAsia="Arial" w:hAnsi="Arial" w:cs="Arial"/>
                <w:sz w:val="18"/>
                <w:szCs w:val="18"/>
              </w:rPr>
              <w:t>6</w:t>
            </w:r>
          </w:p>
        </w:tc>
        <w:tc>
          <w:tcPr>
            <w:tcW w:w="683"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 </w:t>
            </w:r>
          </w:p>
        </w:tc>
        <w:tc>
          <w:tcPr>
            <w:tcW w:w="1868"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Change and transformation</w:t>
            </w:r>
          </w:p>
        </w:tc>
        <w:tc>
          <w:tcPr>
            <w:tcW w:w="1985"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Business change management</w:t>
            </w:r>
          </w:p>
        </w:tc>
        <w:tc>
          <w:tcPr>
            <w:tcW w:w="2268"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Change implementation planning and management</w:t>
            </w:r>
          </w:p>
        </w:tc>
        <w:tc>
          <w:tcPr>
            <w:tcW w:w="1275"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CIPM</w:t>
            </w:r>
          </w:p>
        </w:tc>
      </w:tr>
      <w:tr w:rsidR="00D72414">
        <w:trPr>
          <w:trHeight w:val="690"/>
        </w:trPr>
        <w:tc>
          <w:tcPr>
            <w:tcW w:w="846" w:type="dxa"/>
            <w:tcBorders>
              <w:top w:val="nil"/>
              <w:left w:val="single" w:sz="4" w:space="0" w:color="000000"/>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lastRenderedPageBreak/>
              <w:t> </w:t>
            </w:r>
          </w:p>
        </w:tc>
        <w:tc>
          <w:tcPr>
            <w:tcW w:w="709"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 </w:t>
            </w:r>
          </w:p>
        </w:tc>
        <w:tc>
          <w:tcPr>
            <w:tcW w:w="708"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AF0F7"/>
          </w:tcPr>
          <w:p w:rsidR="00D72414" w:rsidRDefault="00C0362E">
            <w:pPr>
              <w:jc w:val="right"/>
              <w:rPr>
                <w:rFonts w:ascii="Arial" w:eastAsia="Arial" w:hAnsi="Arial" w:cs="Arial"/>
                <w:sz w:val="18"/>
                <w:szCs w:val="18"/>
              </w:rPr>
            </w:pPr>
            <w:r>
              <w:rPr>
                <w:rFonts w:ascii="Arial" w:eastAsia="Arial" w:hAnsi="Arial" w:cs="Arial"/>
                <w:sz w:val="18"/>
                <w:szCs w:val="18"/>
              </w:rPr>
              <w:t>4</w:t>
            </w:r>
          </w:p>
        </w:tc>
        <w:tc>
          <w:tcPr>
            <w:tcW w:w="709" w:type="dxa"/>
            <w:tcBorders>
              <w:top w:val="nil"/>
              <w:left w:val="nil"/>
              <w:bottom w:val="single" w:sz="4" w:space="0" w:color="000000"/>
              <w:right w:val="single" w:sz="4" w:space="0" w:color="000000"/>
            </w:tcBorders>
            <w:shd w:val="clear" w:color="auto" w:fill="FAF0F7"/>
          </w:tcPr>
          <w:p w:rsidR="00D72414" w:rsidRDefault="00C0362E">
            <w:pPr>
              <w:jc w:val="right"/>
              <w:rPr>
                <w:rFonts w:ascii="Arial" w:eastAsia="Arial" w:hAnsi="Arial" w:cs="Arial"/>
                <w:sz w:val="18"/>
                <w:szCs w:val="18"/>
              </w:rPr>
            </w:pPr>
            <w:r>
              <w:rPr>
                <w:rFonts w:ascii="Arial" w:eastAsia="Arial" w:hAnsi="Arial" w:cs="Arial"/>
                <w:sz w:val="18"/>
                <w:szCs w:val="18"/>
              </w:rPr>
              <w:t>5</w:t>
            </w:r>
          </w:p>
        </w:tc>
        <w:tc>
          <w:tcPr>
            <w:tcW w:w="709" w:type="dxa"/>
            <w:tcBorders>
              <w:top w:val="nil"/>
              <w:left w:val="nil"/>
              <w:bottom w:val="single" w:sz="4" w:space="0" w:color="000000"/>
              <w:right w:val="single" w:sz="4" w:space="0" w:color="000000"/>
            </w:tcBorders>
            <w:shd w:val="clear" w:color="auto" w:fill="FAF0F7"/>
          </w:tcPr>
          <w:p w:rsidR="00D72414" w:rsidRDefault="00C0362E">
            <w:pPr>
              <w:jc w:val="right"/>
              <w:rPr>
                <w:rFonts w:ascii="Arial" w:eastAsia="Arial" w:hAnsi="Arial" w:cs="Arial"/>
                <w:sz w:val="18"/>
                <w:szCs w:val="18"/>
              </w:rPr>
            </w:pPr>
            <w:r>
              <w:rPr>
                <w:rFonts w:ascii="Arial" w:eastAsia="Arial" w:hAnsi="Arial" w:cs="Arial"/>
                <w:sz w:val="18"/>
                <w:szCs w:val="18"/>
              </w:rPr>
              <w:t>6</w:t>
            </w:r>
          </w:p>
        </w:tc>
        <w:tc>
          <w:tcPr>
            <w:tcW w:w="683"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 </w:t>
            </w:r>
          </w:p>
        </w:tc>
        <w:tc>
          <w:tcPr>
            <w:tcW w:w="1868"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Change and transformation</w:t>
            </w:r>
          </w:p>
        </w:tc>
        <w:tc>
          <w:tcPr>
            <w:tcW w:w="1985"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Business change management</w:t>
            </w:r>
          </w:p>
        </w:tc>
        <w:tc>
          <w:tcPr>
            <w:tcW w:w="2268"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Business process testing</w:t>
            </w:r>
          </w:p>
        </w:tc>
        <w:tc>
          <w:tcPr>
            <w:tcW w:w="1275" w:type="dxa"/>
            <w:tcBorders>
              <w:top w:val="nil"/>
              <w:left w:val="nil"/>
              <w:bottom w:val="single" w:sz="4" w:space="0" w:color="000000"/>
              <w:right w:val="single" w:sz="4" w:space="0" w:color="000000"/>
            </w:tcBorders>
            <w:shd w:val="clear" w:color="auto" w:fill="FAF0F7"/>
          </w:tcPr>
          <w:p w:rsidR="00D72414" w:rsidRDefault="00C0362E">
            <w:pPr>
              <w:rPr>
                <w:rFonts w:ascii="Arial" w:eastAsia="Arial" w:hAnsi="Arial" w:cs="Arial"/>
                <w:sz w:val="18"/>
                <w:szCs w:val="18"/>
              </w:rPr>
            </w:pPr>
            <w:r>
              <w:rPr>
                <w:rFonts w:ascii="Arial" w:eastAsia="Arial" w:hAnsi="Arial" w:cs="Arial"/>
                <w:sz w:val="18"/>
                <w:szCs w:val="18"/>
              </w:rPr>
              <w:t>BPTS</w:t>
            </w:r>
          </w:p>
        </w:tc>
      </w:tr>
      <w:tr w:rsidR="00D72414">
        <w:trPr>
          <w:trHeight w:val="830"/>
        </w:trPr>
        <w:tc>
          <w:tcPr>
            <w:tcW w:w="846" w:type="dxa"/>
            <w:tcBorders>
              <w:top w:val="nil"/>
              <w:left w:val="single" w:sz="4" w:space="0" w:color="000000"/>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5</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6</w:t>
            </w:r>
          </w:p>
        </w:tc>
        <w:tc>
          <w:tcPr>
            <w:tcW w:w="683"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7</w:t>
            </w:r>
          </w:p>
        </w:tc>
        <w:tc>
          <w:tcPr>
            <w:tcW w:w="18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Development and implementation</w:t>
            </w:r>
          </w:p>
        </w:tc>
        <w:tc>
          <w:tcPr>
            <w:tcW w:w="198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Systems development</w:t>
            </w:r>
          </w:p>
        </w:tc>
        <w:tc>
          <w:tcPr>
            <w:tcW w:w="22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Systems development management</w:t>
            </w:r>
          </w:p>
        </w:tc>
        <w:tc>
          <w:tcPr>
            <w:tcW w:w="127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DLMG</w:t>
            </w:r>
          </w:p>
        </w:tc>
      </w:tr>
      <w:tr w:rsidR="00D72414">
        <w:trPr>
          <w:trHeight w:val="690"/>
        </w:trPr>
        <w:tc>
          <w:tcPr>
            <w:tcW w:w="846" w:type="dxa"/>
            <w:tcBorders>
              <w:top w:val="nil"/>
              <w:left w:val="single" w:sz="4" w:space="0" w:color="000000"/>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4</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5</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6</w:t>
            </w:r>
          </w:p>
        </w:tc>
        <w:tc>
          <w:tcPr>
            <w:tcW w:w="683"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18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Development and implementation</w:t>
            </w:r>
          </w:p>
        </w:tc>
        <w:tc>
          <w:tcPr>
            <w:tcW w:w="198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Systems development</w:t>
            </w:r>
          </w:p>
        </w:tc>
        <w:tc>
          <w:tcPr>
            <w:tcW w:w="22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Systems design</w:t>
            </w:r>
          </w:p>
        </w:tc>
        <w:tc>
          <w:tcPr>
            <w:tcW w:w="127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DESN</w:t>
            </w:r>
          </w:p>
        </w:tc>
      </w:tr>
      <w:tr w:rsidR="00D72414">
        <w:trPr>
          <w:trHeight w:val="920"/>
        </w:trPr>
        <w:tc>
          <w:tcPr>
            <w:tcW w:w="846" w:type="dxa"/>
            <w:tcBorders>
              <w:top w:val="nil"/>
              <w:left w:val="single" w:sz="4" w:space="0" w:color="000000"/>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2</w:t>
            </w:r>
          </w:p>
        </w:tc>
        <w:tc>
          <w:tcPr>
            <w:tcW w:w="708"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3</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4</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5</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6</w:t>
            </w:r>
          </w:p>
        </w:tc>
        <w:tc>
          <w:tcPr>
            <w:tcW w:w="683"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18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Development and implementation</w:t>
            </w:r>
          </w:p>
        </w:tc>
        <w:tc>
          <w:tcPr>
            <w:tcW w:w="198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Systems development</w:t>
            </w:r>
          </w:p>
        </w:tc>
        <w:tc>
          <w:tcPr>
            <w:tcW w:w="22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Programming/software development</w:t>
            </w:r>
          </w:p>
        </w:tc>
        <w:tc>
          <w:tcPr>
            <w:tcW w:w="127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PROG</w:t>
            </w:r>
          </w:p>
        </w:tc>
      </w:tr>
      <w:tr w:rsidR="00D72414">
        <w:trPr>
          <w:trHeight w:val="690"/>
        </w:trPr>
        <w:tc>
          <w:tcPr>
            <w:tcW w:w="846" w:type="dxa"/>
            <w:tcBorders>
              <w:top w:val="nil"/>
              <w:left w:val="single" w:sz="4" w:space="0" w:color="000000"/>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2</w:t>
            </w:r>
          </w:p>
        </w:tc>
        <w:tc>
          <w:tcPr>
            <w:tcW w:w="708"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3</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4</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5</w:t>
            </w:r>
          </w:p>
        </w:tc>
        <w:tc>
          <w:tcPr>
            <w:tcW w:w="709"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683"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18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Development and implementation</w:t>
            </w:r>
          </w:p>
        </w:tc>
        <w:tc>
          <w:tcPr>
            <w:tcW w:w="198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Systems development</w:t>
            </w:r>
          </w:p>
        </w:tc>
        <w:tc>
          <w:tcPr>
            <w:tcW w:w="22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Data modelling and design</w:t>
            </w:r>
          </w:p>
        </w:tc>
        <w:tc>
          <w:tcPr>
            <w:tcW w:w="127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DTAN</w:t>
            </w:r>
          </w:p>
        </w:tc>
      </w:tr>
      <w:tr w:rsidR="00D72414">
        <w:trPr>
          <w:trHeight w:val="690"/>
        </w:trPr>
        <w:tc>
          <w:tcPr>
            <w:tcW w:w="846" w:type="dxa"/>
            <w:tcBorders>
              <w:top w:val="nil"/>
              <w:left w:val="single" w:sz="4" w:space="0" w:color="000000"/>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8"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3</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4</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5</w:t>
            </w:r>
          </w:p>
        </w:tc>
        <w:tc>
          <w:tcPr>
            <w:tcW w:w="709"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683"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18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Development and implementation</w:t>
            </w:r>
          </w:p>
        </w:tc>
        <w:tc>
          <w:tcPr>
            <w:tcW w:w="198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Systems development</w:t>
            </w:r>
          </w:p>
        </w:tc>
        <w:tc>
          <w:tcPr>
            <w:tcW w:w="22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Database design</w:t>
            </w:r>
          </w:p>
        </w:tc>
        <w:tc>
          <w:tcPr>
            <w:tcW w:w="127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DBDS</w:t>
            </w:r>
          </w:p>
        </w:tc>
      </w:tr>
      <w:tr w:rsidR="00D72414">
        <w:trPr>
          <w:trHeight w:val="690"/>
        </w:trPr>
        <w:tc>
          <w:tcPr>
            <w:tcW w:w="846" w:type="dxa"/>
            <w:tcBorders>
              <w:top w:val="nil"/>
              <w:left w:val="single" w:sz="4" w:space="0" w:color="000000"/>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5</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6</w:t>
            </w:r>
          </w:p>
        </w:tc>
        <w:tc>
          <w:tcPr>
            <w:tcW w:w="683"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18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Development and implementation</w:t>
            </w:r>
          </w:p>
        </w:tc>
        <w:tc>
          <w:tcPr>
            <w:tcW w:w="198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Systems development</w:t>
            </w:r>
          </w:p>
        </w:tc>
        <w:tc>
          <w:tcPr>
            <w:tcW w:w="22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Network design</w:t>
            </w:r>
          </w:p>
        </w:tc>
        <w:tc>
          <w:tcPr>
            <w:tcW w:w="127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NTDS</w:t>
            </w:r>
          </w:p>
        </w:tc>
      </w:tr>
      <w:tr w:rsidR="00D72414">
        <w:trPr>
          <w:trHeight w:val="690"/>
        </w:trPr>
        <w:tc>
          <w:tcPr>
            <w:tcW w:w="846" w:type="dxa"/>
            <w:tcBorders>
              <w:top w:val="nil"/>
              <w:left w:val="single" w:sz="4" w:space="0" w:color="000000"/>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1</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2</w:t>
            </w:r>
          </w:p>
        </w:tc>
        <w:tc>
          <w:tcPr>
            <w:tcW w:w="708"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3</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4</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5</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6</w:t>
            </w:r>
          </w:p>
        </w:tc>
        <w:tc>
          <w:tcPr>
            <w:tcW w:w="683"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18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Development and implementation</w:t>
            </w:r>
          </w:p>
        </w:tc>
        <w:tc>
          <w:tcPr>
            <w:tcW w:w="198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Systems development</w:t>
            </w:r>
          </w:p>
        </w:tc>
        <w:tc>
          <w:tcPr>
            <w:tcW w:w="22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Testing</w:t>
            </w:r>
          </w:p>
        </w:tc>
        <w:tc>
          <w:tcPr>
            <w:tcW w:w="127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TEST</w:t>
            </w:r>
          </w:p>
        </w:tc>
      </w:tr>
      <w:tr w:rsidR="00D72414">
        <w:trPr>
          <w:trHeight w:val="690"/>
        </w:trPr>
        <w:tc>
          <w:tcPr>
            <w:tcW w:w="846" w:type="dxa"/>
            <w:tcBorders>
              <w:top w:val="nil"/>
              <w:left w:val="single" w:sz="4" w:space="0" w:color="000000"/>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2</w:t>
            </w:r>
          </w:p>
        </w:tc>
        <w:tc>
          <w:tcPr>
            <w:tcW w:w="708"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3</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4</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5</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6</w:t>
            </w:r>
          </w:p>
        </w:tc>
        <w:tc>
          <w:tcPr>
            <w:tcW w:w="683"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18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Development and implementation</w:t>
            </w:r>
          </w:p>
        </w:tc>
        <w:tc>
          <w:tcPr>
            <w:tcW w:w="198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Installation and integration</w:t>
            </w:r>
          </w:p>
        </w:tc>
        <w:tc>
          <w:tcPr>
            <w:tcW w:w="22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Systems integration and build</w:t>
            </w:r>
          </w:p>
        </w:tc>
        <w:tc>
          <w:tcPr>
            <w:tcW w:w="127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SINT</w:t>
            </w:r>
          </w:p>
        </w:tc>
      </w:tr>
      <w:tr w:rsidR="00D72414">
        <w:trPr>
          <w:trHeight w:val="700"/>
        </w:trPr>
        <w:tc>
          <w:tcPr>
            <w:tcW w:w="846" w:type="dxa"/>
            <w:tcBorders>
              <w:top w:val="nil"/>
              <w:left w:val="single" w:sz="4" w:space="0" w:color="000000"/>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9"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708"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3</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4</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5</w:t>
            </w:r>
          </w:p>
        </w:tc>
        <w:tc>
          <w:tcPr>
            <w:tcW w:w="709" w:type="dxa"/>
            <w:tcBorders>
              <w:top w:val="nil"/>
              <w:left w:val="nil"/>
              <w:bottom w:val="single" w:sz="4" w:space="0" w:color="000000"/>
              <w:right w:val="single" w:sz="4" w:space="0" w:color="000000"/>
            </w:tcBorders>
            <w:shd w:val="clear" w:color="auto" w:fill="FEF9EC"/>
          </w:tcPr>
          <w:p w:rsidR="00D72414" w:rsidRDefault="00C0362E">
            <w:pPr>
              <w:jc w:val="right"/>
              <w:rPr>
                <w:rFonts w:ascii="Arial" w:eastAsia="Arial" w:hAnsi="Arial" w:cs="Arial"/>
                <w:sz w:val="18"/>
                <w:szCs w:val="18"/>
              </w:rPr>
            </w:pPr>
            <w:r>
              <w:rPr>
                <w:rFonts w:ascii="Arial" w:eastAsia="Arial" w:hAnsi="Arial" w:cs="Arial"/>
                <w:sz w:val="18"/>
                <w:szCs w:val="18"/>
              </w:rPr>
              <w:t>6</w:t>
            </w:r>
          </w:p>
        </w:tc>
        <w:tc>
          <w:tcPr>
            <w:tcW w:w="683"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 </w:t>
            </w:r>
          </w:p>
        </w:tc>
        <w:tc>
          <w:tcPr>
            <w:tcW w:w="18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Development and implementation</w:t>
            </w:r>
          </w:p>
        </w:tc>
        <w:tc>
          <w:tcPr>
            <w:tcW w:w="198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Installation and integration</w:t>
            </w:r>
          </w:p>
        </w:tc>
        <w:tc>
          <w:tcPr>
            <w:tcW w:w="2268"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Porting/software configuration</w:t>
            </w:r>
          </w:p>
        </w:tc>
        <w:tc>
          <w:tcPr>
            <w:tcW w:w="1275" w:type="dxa"/>
            <w:tcBorders>
              <w:top w:val="nil"/>
              <w:left w:val="nil"/>
              <w:bottom w:val="single" w:sz="4" w:space="0" w:color="000000"/>
              <w:right w:val="single" w:sz="4" w:space="0" w:color="000000"/>
            </w:tcBorders>
            <w:shd w:val="clear" w:color="auto" w:fill="FEF9EC"/>
          </w:tcPr>
          <w:p w:rsidR="00D72414" w:rsidRDefault="00C0362E">
            <w:pPr>
              <w:rPr>
                <w:rFonts w:ascii="Arial" w:eastAsia="Arial" w:hAnsi="Arial" w:cs="Arial"/>
                <w:sz w:val="18"/>
                <w:szCs w:val="18"/>
              </w:rPr>
            </w:pPr>
            <w:r>
              <w:rPr>
                <w:rFonts w:ascii="Arial" w:eastAsia="Arial" w:hAnsi="Arial" w:cs="Arial"/>
                <w:sz w:val="18"/>
                <w:szCs w:val="18"/>
              </w:rPr>
              <w:t>PORT</w:t>
            </w:r>
          </w:p>
        </w:tc>
      </w:tr>
    </w:tbl>
    <w:p w:rsidR="00D72414" w:rsidRDefault="00D72414">
      <w:pPr>
        <w:pBdr>
          <w:top w:val="nil"/>
          <w:left w:val="nil"/>
          <w:bottom w:val="nil"/>
          <w:right w:val="nil"/>
          <w:between w:val="nil"/>
        </w:pBdr>
        <w:spacing w:before="120"/>
        <w:jc w:val="both"/>
        <w:rPr>
          <w:rFonts w:ascii="Arial" w:eastAsia="Arial" w:hAnsi="Arial" w:cs="Arial"/>
          <w:b/>
          <w:sz w:val="20"/>
          <w:szCs w:val="20"/>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p w:rsidR="00D72414" w:rsidRDefault="00D72414">
      <w:pPr>
        <w:rPr>
          <w:rFonts w:ascii="Arial" w:eastAsia="Arial" w:hAnsi="Arial" w:cs="Arial"/>
          <w:b/>
          <w:sz w:val="22"/>
          <w:szCs w:val="22"/>
        </w:rPr>
      </w:pPr>
    </w:p>
    <w:sectPr w:rsidR="00D72414">
      <w:headerReference w:type="default" r:id="rId11"/>
      <w:footerReference w:type="default" r:id="rId12"/>
      <w:pgSz w:w="16840" w:h="11900" w:orient="landscape"/>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2303" w:rsidRDefault="009C2303">
      <w:r>
        <w:separator/>
      </w:r>
    </w:p>
  </w:endnote>
  <w:endnote w:type="continuationSeparator" w:id="0">
    <w:p w:rsidR="009C2303" w:rsidRDefault="009C2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032" w:rsidRDefault="00595032">
    <w:pPr>
      <w:pBdr>
        <w:top w:val="nil"/>
        <w:left w:val="nil"/>
        <w:bottom w:val="nil"/>
        <w:right w:val="nil"/>
        <w:between w:val="nil"/>
      </w:pBdr>
      <w:tabs>
        <w:tab w:val="center" w:pos="4680"/>
        <w:tab w:val="right" w:pos="9360"/>
        <w:tab w:val="right" w:pos="9357"/>
      </w:tabs>
      <w:rPr>
        <w:rFonts w:ascii="Arial" w:eastAsia="Arial" w:hAnsi="Arial" w:cs="Arial"/>
        <w:color w:val="000000"/>
        <w:sz w:val="14"/>
        <w:szCs w:val="14"/>
      </w:rPr>
    </w:pPr>
    <w:r>
      <w:rPr>
        <w:rFonts w:ascii="Arial" w:eastAsia="Arial" w:hAnsi="Arial" w:cs="Arial"/>
        <w:color w:val="263238"/>
        <w:sz w:val="20"/>
        <w:szCs w:val="20"/>
      </w:rPr>
      <w:t>Framework Ref: RM6226 - Debt Resolution Services</w:t>
    </w:r>
    <w:r>
      <w:rPr>
        <w:rFonts w:ascii="Arial" w:eastAsia="Arial" w:hAnsi="Arial" w:cs="Arial"/>
        <w:color w:val="263238"/>
        <w:sz w:val="20"/>
        <w:szCs w:val="20"/>
      </w:rPr>
      <w:tab/>
      <w:t>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r>
      <w:rPr>
        <w:noProof/>
      </w:rPr>
      <mc:AlternateContent>
        <mc:Choice Requires="wps">
          <w:drawing>
            <wp:anchor distT="0" distB="0" distL="114300" distR="114300" simplePos="0" relativeHeight="251658240" behindDoc="0" locked="0" layoutInCell="1" hidden="0" allowOverlap="1">
              <wp:simplePos x="0" y="0"/>
              <wp:positionH relativeFrom="column">
                <wp:posOffset>-914399</wp:posOffset>
              </wp:positionH>
              <wp:positionV relativeFrom="paragraph">
                <wp:posOffset>7061200</wp:posOffset>
              </wp:positionV>
              <wp:extent cx="10721975" cy="301625"/>
              <wp:effectExtent l="0" t="0" r="0" b="0"/>
              <wp:wrapNone/>
              <wp:docPr id="5" name="Rectangle 5" descr="{&quot;HashCode&quot;:-1264847310,&quot;Height&quot;:595.0,&quot;Width&quot;:842.0,&quot;Placement&quot;:&quot;Footer&quot;,&quot;Index&quot;:&quot;Primary&quot;,&quot;Section&quot;:2,&quot;Top&quot;:0.0,&quot;Left&quot;:0.0}"/>
              <wp:cNvGraphicFramePr/>
              <a:graphic xmlns:a="http://schemas.openxmlformats.org/drawingml/2006/main">
                <a:graphicData uri="http://schemas.microsoft.com/office/word/2010/wordprocessingShape">
                  <wps:wsp>
                    <wps:cNvSpPr/>
                    <wps:spPr>
                      <a:xfrm>
                        <a:off x="0" y="3643475"/>
                        <a:ext cx="10692000" cy="273050"/>
                      </a:xfrm>
                      <a:prstGeom prst="rect">
                        <a:avLst/>
                      </a:prstGeom>
                      <a:noFill/>
                      <a:ln>
                        <a:noFill/>
                      </a:ln>
                    </wps:spPr>
                    <wps:txbx>
                      <w:txbxContent>
                        <w:p w:rsidR="00595032" w:rsidRDefault="00595032">
                          <w:pPr>
                            <w:jc w:val="center"/>
                            <w:textDirection w:val="btLr"/>
                          </w:pPr>
                          <w:r>
                            <w:rPr>
                              <w:rFonts w:ascii="Calibri" w:eastAsia="Calibri" w:hAnsi="Calibri" w:cs="Calibri"/>
                              <w:color w:val="000000"/>
                              <w:sz w:val="20"/>
                            </w:rPr>
                            <w:t>OFFICIAL</w:t>
                          </w:r>
                        </w:p>
                      </w:txbxContent>
                    </wps:txbx>
                    <wps:bodyPr spcFirstLastPara="1" wrap="square" lIns="91425" tIns="0" rIns="91425" bIns="0" anchor="b" anchorCtr="0">
                      <a:noAutofit/>
                    </wps:bodyPr>
                  </wps:wsp>
                </a:graphicData>
              </a:graphic>
            </wp:anchor>
          </w:drawing>
        </mc:Choice>
        <mc:Fallback>
          <w:pict>
            <v:rect id="Rectangle 5" o:spid="_x0000_s1026" alt="{&quot;HashCode&quot;:-1264847310,&quot;Height&quot;:595.0,&quot;Width&quot;:842.0,&quot;Placement&quot;:&quot;Footer&quot;,&quot;Index&quot;:&quot;Primary&quot;,&quot;Section&quot;:2,&quot;Top&quot;:0.0,&quot;Left&quot;:0.0}" style="position:absolute;margin-left:-1in;margin-top:556pt;width:844.25pt;height:23.7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" filled="f" stroked="f">
              <v:textbox inset="2.53958mm,0,2.53958mm,0">
                <w:txbxContent>
                  <w:p w:rsidR="00595032" w:rsidRDefault="00595032">
                    <w:pPr>
                      <w:jc w:val="center"/>
                      <w:textDirection w:val="btLr"/>
                    </w:pPr>
                    <w:r>
                      <w:rPr>
                        <w:rFonts w:ascii="Calibri" w:eastAsia="Calibri" w:hAnsi="Calibri" w:cs="Calibri"/>
                        <w:color w:val="000000"/>
                        <w:sz w:val="20"/>
                      </w:rPr>
                      <w:t>OFFICIAL</w:t>
                    </w:r>
                  </w:p>
                </w:txbxContent>
              </v:textbox>
            </v:rect>
          </w:pict>
        </mc:Fallback>
      </mc:AlternateContent>
    </w:r>
  </w:p>
  <w:p w:rsidR="00595032" w:rsidRDefault="00595032">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2303" w:rsidRDefault="009C2303">
      <w:r>
        <w:separator/>
      </w:r>
    </w:p>
  </w:footnote>
  <w:footnote w:type="continuationSeparator" w:id="0">
    <w:p w:rsidR="009C2303" w:rsidRDefault="009C2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032" w:rsidRDefault="00595032">
    <w:pPr>
      <w:pBdr>
        <w:top w:val="nil"/>
        <w:left w:val="nil"/>
        <w:bottom w:val="nil"/>
        <w:right w:val="nil"/>
        <w:between w:val="nil"/>
      </w:pBdr>
      <w:tabs>
        <w:tab w:val="center" w:pos="4680"/>
        <w:tab w:val="right" w:pos="9360"/>
      </w:tabs>
      <w:rPr>
        <w:color w:val="000000"/>
      </w:rPr>
    </w:pPr>
    <w:r>
      <w:rPr>
        <w:rFonts w:ascii="Arial" w:eastAsia="Arial" w:hAnsi="Arial" w:cs="Arial"/>
        <w:b/>
        <w:color w:val="000000"/>
        <w:sz w:val="20"/>
        <w:szCs w:val="20"/>
      </w:rPr>
      <w:t>Framework Schedule 3 (Framework Prices</w:t>
    </w:r>
    <w:r>
      <w:rPr>
        <w:color w:val="000000"/>
      </w:rPr>
      <w:t>)</w:t>
    </w:r>
  </w:p>
  <w:p w:rsidR="00595032" w:rsidRDefault="00595032">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D5720"/>
    <w:multiLevelType w:val="multilevel"/>
    <w:tmpl w:val="3CC6EABA"/>
    <w:lvl w:ilvl="0">
      <w:start w:val="1"/>
      <w:numFmt w:val="decimal"/>
      <w:lvlText w:val="%1"/>
      <w:lvlJc w:val="left"/>
      <w:pPr>
        <w:ind w:left="360" w:hanging="360"/>
      </w:pPr>
      <w:rPr>
        <w:rFonts w:ascii="Arial" w:eastAsia="Arial" w:hAnsi="Arial" w:cs="Arial"/>
        <w:sz w:val="22"/>
        <w:szCs w:val="22"/>
      </w:rPr>
    </w:lvl>
    <w:lvl w:ilvl="1">
      <w:start w:val="1"/>
      <w:numFmt w:val="decimal"/>
      <w:lvlText w:val="%1.%2"/>
      <w:lvlJc w:val="left"/>
      <w:pPr>
        <w:ind w:left="360" w:hanging="360"/>
      </w:pPr>
      <w:rPr>
        <w:rFonts w:ascii="Arial" w:eastAsia="Arial" w:hAnsi="Arial" w:cs="Arial"/>
        <w:b w:val="0"/>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B4C1873"/>
    <w:multiLevelType w:val="multilevel"/>
    <w:tmpl w:val="52587728"/>
    <w:lvl w:ilvl="0">
      <w:start w:val="1"/>
      <w:numFmt w:val="decimal"/>
      <w:lvlText w:val="%1."/>
      <w:lvlJc w:val="left"/>
      <w:pPr>
        <w:ind w:left="794" w:hanging="794"/>
      </w:pPr>
      <w:rPr>
        <w:b/>
        <w:i w:val="0"/>
      </w:rPr>
    </w:lvl>
    <w:lvl w:ilvl="1">
      <w:start w:val="1"/>
      <w:numFmt w:val="decimal"/>
      <w:lvlText w:val="%1.%2"/>
      <w:lvlJc w:val="left"/>
      <w:pPr>
        <w:ind w:left="794" w:hanging="794"/>
      </w:pPr>
      <w:rPr>
        <w:rFonts w:ascii="Arial" w:eastAsia="Arial" w:hAnsi="Arial" w:cs="Arial"/>
        <w:b w:val="0"/>
        <w:i w:val="0"/>
        <w:smallCaps w:val="0"/>
        <w:strike w:val="0"/>
        <w:color w:val="000000"/>
        <w:sz w:val="20"/>
        <w:szCs w:val="20"/>
        <w:u w:val="none"/>
        <w:vertAlign w:val="baseline"/>
      </w:rPr>
    </w:lvl>
    <w:lvl w:ilvl="2">
      <w:start w:val="1"/>
      <w:numFmt w:val="decimal"/>
      <w:lvlText w:val="%3."/>
      <w:lvlJc w:val="left"/>
      <w:pPr>
        <w:ind w:left="794" w:hanging="794"/>
      </w:pPr>
      <w:rPr>
        <w:b w:val="0"/>
      </w:rPr>
    </w:lvl>
    <w:lvl w:ilvl="3">
      <w:start w:val="1"/>
      <w:numFmt w:val="lowerLetter"/>
      <w:lvlText w:val="(%4)"/>
      <w:lvlJc w:val="left"/>
      <w:pPr>
        <w:ind w:left="1587" w:hanging="793"/>
      </w:pPr>
      <w:rPr>
        <w:b w:val="0"/>
        <w:i w:val="0"/>
      </w:rPr>
    </w:lvl>
    <w:lvl w:ilvl="4">
      <w:start w:val="1"/>
      <w:numFmt w:val="lowerRoman"/>
      <w:lvlText w:val="(%5)"/>
      <w:lvlJc w:val="left"/>
      <w:pPr>
        <w:ind w:left="2381" w:hanging="794"/>
      </w:pPr>
    </w:lvl>
    <w:lvl w:ilvl="5">
      <w:start w:val="1"/>
      <w:numFmt w:val="upperLetter"/>
      <w:lvlText w:val="(%6)"/>
      <w:lvlJc w:val="left"/>
      <w:pPr>
        <w:ind w:left="3175" w:hanging="794"/>
      </w:pPr>
    </w:lvl>
    <w:lvl w:ilvl="6">
      <w:start w:val="1"/>
      <w:numFmt w:val="decimal"/>
      <w:lvlText w:val="UNDEFINED"/>
      <w:lvlJc w:val="left"/>
      <w:pPr>
        <w:ind w:left="3969" w:hanging="794"/>
      </w:pPr>
    </w:lvl>
    <w:lvl w:ilvl="7">
      <w:start w:val="1"/>
      <w:numFmt w:val="decimal"/>
      <w:lvlText w:val="UNDEFINED"/>
      <w:lvlJc w:val="left"/>
      <w:pPr>
        <w:ind w:left="4762" w:hanging="793"/>
      </w:pPr>
    </w:lvl>
    <w:lvl w:ilvl="8">
      <w:start w:val="1"/>
      <w:numFmt w:val="decimal"/>
      <w:lvlText w:val="UNDEFINED"/>
      <w:lvlJc w:val="left"/>
      <w:pPr>
        <w:ind w:left="5556" w:hanging="794"/>
      </w:pPr>
    </w:lvl>
  </w:abstractNum>
  <w:abstractNum w:abstractNumId="2" w15:restartNumberingAfterBreak="0">
    <w:nsid w:val="0C5F47FD"/>
    <w:multiLevelType w:val="multilevel"/>
    <w:tmpl w:val="F154BD80"/>
    <w:lvl w:ilvl="0">
      <w:start w:val="1"/>
      <w:numFmt w:val="decimal"/>
      <w:lvlText w:val="%1"/>
      <w:lvlJc w:val="left"/>
      <w:pPr>
        <w:ind w:left="360" w:hanging="360"/>
      </w:pPr>
      <w:rPr>
        <w:b/>
        <w:sz w:val="24"/>
        <w:szCs w:val="24"/>
      </w:rPr>
    </w:lvl>
    <w:lvl w:ilvl="1">
      <w:start w:val="1"/>
      <w:numFmt w:val="decimal"/>
      <w:lvlText w:val="%1.%2"/>
      <w:lvlJc w:val="left"/>
      <w:pPr>
        <w:ind w:left="360" w:hanging="360"/>
      </w:pPr>
    </w:lvl>
    <w:lvl w:ilvl="2">
      <w:start w:val="1"/>
      <w:numFmt w:val="lowerLetter"/>
      <w:lvlText w:val="%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F060CA4"/>
    <w:multiLevelType w:val="multilevel"/>
    <w:tmpl w:val="28CA5452"/>
    <w:lvl w:ilvl="0">
      <w:start w:val="1"/>
      <w:numFmt w:val="upperLetter"/>
      <w:pStyle w:val="csgPartIIIHeading2"/>
      <w:lvlText w:val="%1."/>
      <w:lvlJc w:val="left"/>
      <w:pPr>
        <w:ind w:left="794" w:hanging="794"/>
      </w:pPr>
      <w:rPr>
        <w:b/>
        <w:i w:val="0"/>
      </w:rPr>
    </w:lvl>
    <w:lvl w:ilvl="1">
      <w:start w:val="1"/>
      <w:numFmt w:val="decimal"/>
      <w:lvlText w:val="%1.%2"/>
      <w:lvlJc w:val="left"/>
      <w:pPr>
        <w:ind w:left="794" w:hanging="794"/>
      </w:pPr>
      <w:rPr>
        <w:rFonts w:ascii="Arial" w:eastAsia="Arial" w:hAnsi="Arial" w:cs="Arial"/>
        <w:b w:val="0"/>
        <w:i w:val="0"/>
        <w:smallCaps w:val="0"/>
        <w:strike w:val="0"/>
        <w:color w:val="000000"/>
        <w:sz w:val="20"/>
        <w:szCs w:val="20"/>
        <w:u w:val="none"/>
        <w:vertAlign w:val="baseline"/>
      </w:rPr>
    </w:lvl>
    <w:lvl w:ilvl="2">
      <w:start w:val="1"/>
      <w:numFmt w:val="decimal"/>
      <w:lvlText w:val="%3."/>
      <w:lvlJc w:val="left"/>
      <w:pPr>
        <w:ind w:left="794" w:hanging="794"/>
      </w:pPr>
      <w:rPr>
        <w:b w:val="0"/>
      </w:rPr>
    </w:lvl>
    <w:lvl w:ilvl="3">
      <w:start w:val="1"/>
      <w:numFmt w:val="lowerLetter"/>
      <w:lvlText w:val="(%4)"/>
      <w:lvlJc w:val="left"/>
      <w:pPr>
        <w:ind w:left="1587" w:hanging="793"/>
      </w:pPr>
      <w:rPr>
        <w:b w:val="0"/>
        <w:i w:val="0"/>
      </w:rPr>
    </w:lvl>
    <w:lvl w:ilvl="4">
      <w:start w:val="1"/>
      <w:numFmt w:val="lowerRoman"/>
      <w:lvlText w:val="(%5)"/>
      <w:lvlJc w:val="left"/>
      <w:pPr>
        <w:ind w:left="2381" w:hanging="794"/>
      </w:pPr>
    </w:lvl>
    <w:lvl w:ilvl="5">
      <w:start w:val="1"/>
      <w:numFmt w:val="upperLetter"/>
      <w:lvlText w:val="(%6)"/>
      <w:lvlJc w:val="left"/>
      <w:pPr>
        <w:ind w:left="3175" w:hanging="794"/>
      </w:pPr>
    </w:lvl>
    <w:lvl w:ilvl="6">
      <w:start w:val="1"/>
      <w:numFmt w:val="decimal"/>
      <w:lvlText w:val="UNDEFINED"/>
      <w:lvlJc w:val="left"/>
      <w:pPr>
        <w:ind w:left="3969" w:hanging="794"/>
      </w:pPr>
    </w:lvl>
    <w:lvl w:ilvl="7">
      <w:start w:val="1"/>
      <w:numFmt w:val="decimal"/>
      <w:lvlText w:val="UNDEFINED"/>
      <w:lvlJc w:val="left"/>
      <w:pPr>
        <w:ind w:left="4762" w:hanging="793"/>
      </w:pPr>
    </w:lvl>
    <w:lvl w:ilvl="8">
      <w:start w:val="1"/>
      <w:numFmt w:val="decimal"/>
      <w:lvlText w:val="UNDEFINED"/>
      <w:lvlJc w:val="left"/>
      <w:pPr>
        <w:ind w:left="5556" w:hanging="794"/>
      </w:pPr>
    </w:lvl>
  </w:abstractNum>
  <w:abstractNum w:abstractNumId="4" w15:restartNumberingAfterBreak="0">
    <w:nsid w:val="0F2D5D2D"/>
    <w:multiLevelType w:val="multilevel"/>
    <w:tmpl w:val="81E6D4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1F7685C"/>
    <w:multiLevelType w:val="multilevel"/>
    <w:tmpl w:val="DA7A28A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0"/>
        <w:szCs w:val="20"/>
        <w:u w:val="none"/>
        <w:vertAlign w:val="baseline"/>
      </w:rPr>
    </w:lvl>
    <w:lvl w:ilvl="2">
      <w:start w:val="1"/>
      <w:numFmt w:val="decimal"/>
      <w:lvlText w:val="%1.%2.%3"/>
      <w:lvlJc w:val="left"/>
      <w:pPr>
        <w:ind w:left="990" w:hanging="720"/>
      </w:pPr>
      <w:rPr>
        <w:b w:val="0"/>
        <w:i w:val="0"/>
        <w:smallCaps w:val="0"/>
        <w:strike w:val="0"/>
        <w:color w:val="000000"/>
        <w:sz w:val="20"/>
        <w:szCs w:val="2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17461FC5"/>
    <w:multiLevelType w:val="multilevel"/>
    <w:tmpl w:val="22347658"/>
    <w:lvl w:ilvl="0">
      <w:start w:val="1"/>
      <w:numFmt w:val="upperLetter"/>
      <w:lvlText w:val="%1."/>
      <w:lvlJc w:val="left"/>
      <w:pPr>
        <w:ind w:left="794" w:hanging="794"/>
      </w:pPr>
      <w:rPr>
        <w:b/>
        <w:i w:val="0"/>
      </w:rPr>
    </w:lvl>
    <w:lvl w:ilvl="1">
      <w:start w:val="1"/>
      <w:numFmt w:val="decimal"/>
      <w:lvlText w:val="%1.%2"/>
      <w:lvlJc w:val="left"/>
      <w:pPr>
        <w:ind w:left="794" w:hanging="794"/>
      </w:pPr>
      <w:rPr>
        <w:rFonts w:ascii="Arial" w:eastAsia="Arial" w:hAnsi="Arial" w:cs="Arial"/>
        <w:b w:val="0"/>
        <w:i w:val="0"/>
        <w:smallCaps w:val="0"/>
        <w:strike w:val="0"/>
        <w:color w:val="000000"/>
        <w:sz w:val="20"/>
        <w:szCs w:val="20"/>
        <w:u w:val="none"/>
        <w:vertAlign w:val="baseline"/>
      </w:rPr>
    </w:lvl>
    <w:lvl w:ilvl="2">
      <w:start w:val="1"/>
      <w:numFmt w:val="decimal"/>
      <w:lvlText w:val="%3."/>
      <w:lvlJc w:val="left"/>
      <w:pPr>
        <w:ind w:left="794" w:hanging="794"/>
      </w:pPr>
      <w:rPr>
        <w:b w:val="0"/>
      </w:rPr>
    </w:lvl>
    <w:lvl w:ilvl="3">
      <w:start w:val="1"/>
      <w:numFmt w:val="lowerLetter"/>
      <w:lvlText w:val="(%4)"/>
      <w:lvlJc w:val="left"/>
      <w:pPr>
        <w:ind w:left="1587" w:hanging="793"/>
      </w:pPr>
      <w:rPr>
        <w:b w:val="0"/>
        <w:i w:val="0"/>
      </w:rPr>
    </w:lvl>
    <w:lvl w:ilvl="4">
      <w:start w:val="1"/>
      <w:numFmt w:val="lowerRoman"/>
      <w:lvlText w:val="(%5)"/>
      <w:lvlJc w:val="left"/>
      <w:pPr>
        <w:ind w:left="2381" w:hanging="794"/>
      </w:pPr>
    </w:lvl>
    <w:lvl w:ilvl="5">
      <w:start w:val="1"/>
      <w:numFmt w:val="upperLetter"/>
      <w:lvlText w:val="(%6)"/>
      <w:lvlJc w:val="left"/>
      <w:pPr>
        <w:ind w:left="3175" w:hanging="794"/>
      </w:pPr>
    </w:lvl>
    <w:lvl w:ilvl="6">
      <w:start w:val="1"/>
      <w:numFmt w:val="decimal"/>
      <w:lvlText w:val="UNDEFINED"/>
      <w:lvlJc w:val="left"/>
      <w:pPr>
        <w:ind w:left="3969" w:hanging="794"/>
      </w:pPr>
    </w:lvl>
    <w:lvl w:ilvl="7">
      <w:start w:val="1"/>
      <w:numFmt w:val="decimal"/>
      <w:lvlText w:val="UNDEFINED"/>
      <w:lvlJc w:val="left"/>
      <w:pPr>
        <w:ind w:left="4762" w:hanging="793"/>
      </w:pPr>
    </w:lvl>
    <w:lvl w:ilvl="8">
      <w:start w:val="1"/>
      <w:numFmt w:val="decimal"/>
      <w:lvlText w:val="UNDEFINED"/>
      <w:lvlJc w:val="left"/>
      <w:pPr>
        <w:ind w:left="5556" w:hanging="794"/>
      </w:pPr>
    </w:lvl>
  </w:abstractNum>
  <w:abstractNum w:abstractNumId="7" w15:restartNumberingAfterBreak="0">
    <w:nsid w:val="1D655E8D"/>
    <w:multiLevelType w:val="multilevel"/>
    <w:tmpl w:val="47585F68"/>
    <w:lvl w:ilvl="0">
      <w:start w:val="1"/>
      <w:numFmt w:val="decimal"/>
      <w:lvlText w:val="%1."/>
      <w:lvlJc w:val="left"/>
      <w:pPr>
        <w:ind w:left="360" w:hanging="360"/>
      </w:pPr>
    </w:lvl>
    <w:lvl w:ilvl="1">
      <w:start w:val="1"/>
      <w:numFmt w:val="decimal"/>
      <w:lvlText w:val="%1.%2"/>
      <w:lvlJc w:val="left"/>
      <w:pPr>
        <w:ind w:left="360" w:hanging="360"/>
      </w:pPr>
      <w:rPr>
        <w:rFonts w:ascii="Arial" w:eastAsia="Arial" w:hAnsi="Arial" w:cs="Arial"/>
        <w:b w:val="0"/>
        <w:i w:val="0"/>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8" w15:restartNumberingAfterBreak="0">
    <w:nsid w:val="1F6C2AC0"/>
    <w:multiLevelType w:val="multilevel"/>
    <w:tmpl w:val="7804AE36"/>
    <w:lvl w:ilvl="0">
      <w:start w:val="1"/>
      <w:numFmt w:val="lowerLetter"/>
      <w:lvlText w:val="%1)"/>
      <w:lvlJc w:val="left"/>
      <w:pPr>
        <w:ind w:left="720" w:hanging="360"/>
      </w:pPr>
    </w:lvl>
    <w:lvl w:ilvl="1">
      <w:start w:val="1"/>
      <w:numFmt w:val="lowerLetter"/>
      <w:lvlText w:val="%2a"/>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D30062"/>
    <w:multiLevelType w:val="multilevel"/>
    <w:tmpl w:val="9EBAE2DE"/>
    <w:lvl w:ilvl="0">
      <w:start w:val="1"/>
      <w:numFmt w:val="decimal"/>
      <w:lvlText w:val="%1."/>
      <w:lvlJc w:val="left"/>
      <w:pPr>
        <w:ind w:left="360" w:hanging="360"/>
      </w:pPr>
      <w:rPr>
        <w:sz w:val="20"/>
        <w:szCs w:val="20"/>
      </w:rPr>
    </w:lvl>
    <w:lvl w:ilvl="1">
      <w:start w:val="1"/>
      <w:numFmt w:val="decimal"/>
      <w:lvlText w:val="%1.%2"/>
      <w:lvlJc w:val="left"/>
      <w:pPr>
        <w:ind w:left="360" w:hanging="360"/>
      </w:pPr>
      <w:rPr>
        <w:rFonts w:ascii="Arial" w:eastAsia="Arial" w:hAnsi="Arial" w:cs="Arial"/>
        <w:b w:val="0"/>
        <w:i w:val="0"/>
        <w:color w:val="000000"/>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0" w15:restartNumberingAfterBreak="0">
    <w:nsid w:val="27D545E4"/>
    <w:multiLevelType w:val="multilevel"/>
    <w:tmpl w:val="0066919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29652D"/>
    <w:multiLevelType w:val="multilevel"/>
    <w:tmpl w:val="78586796"/>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B1F06A5"/>
    <w:multiLevelType w:val="multilevel"/>
    <w:tmpl w:val="3C96D0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60764E"/>
    <w:multiLevelType w:val="multilevel"/>
    <w:tmpl w:val="9B0C9BD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4" w15:restartNumberingAfterBreak="0">
    <w:nsid w:val="39CD1A65"/>
    <w:multiLevelType w:val="multilevel"/>
    <w:tmpl w:val="8B4A318A"/>
    <w:lvl w:ilvl="0">
      <w:start w:val="1"/>
      <w:numFmt w:val="decimal"/>
      <w:lvlText w:val="%1."/>
      <w:lvlJc w:val="left"/>
      <w:pPr>
        <w:ind w:left="360" w:hanging="360"/>
      </w:pPr>
    </w:lvl>
    <w:lvl w:ilvl="1">
      <w:start w:val="1"/>
      <w:numFmt w:val="decimal"/>
      <w:lvlText w:val="%1.%2"/>
      <w:lvlJc w:val="left"/>
      <w:pPr>
        <w:ind w:left="360" w:hanging="360"/>
      </w:pPr>
      <w:rPr>
        <w:rFonts w:ascii="Arial" w:eastAsia="Arial" w:hAnsi="Arial" w:cs="Arial"/>
        <w:b w:val="0"/>
        <w:i w:val="0"/>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5" w15:restartNumberingAfterBreak="0">
    <w:nsid w:val="3B4170DB"/>
    <w:multiLevelType w:val="multilevel"/>
    <w:tmpl w:val="B5B698A2"/>
    <w:lvl w:ilvl="0">
      <w:start w:val="1"/>
      <w:numFmt w:val="decimal"/>
      <w:lvlText w:val="%1."/>
      <w:lvlJc w:val="left"/>
      <w:pPr>
        <w:ind w:left="794" w:hanging="794"/>
      </w:pPr>
      <w:rPr>
        <w:rFonts w:ascii="Arial Bold" w:eastAsia="Arial Bold" w:hAnsi="Arial Bold" w:cs="Arial Bold"/>
        <w:b/>
        <w:i w:val="0"/>
      </w:rPr>
    </w:lvl>
    <w:lvl w:ilvl="1">
      <w:start w:val="1"/>
      <w:numFmt w:val="decimal"/>
      <w:lvlText w:val="%1.%2"/>
      <w:lvlJc w:val="left"/>
      <w:pPr>
        <w:ind w:left="794" w:hanging="794"/>
      </w:pPr>
      <w:rPr>
        <w:rFonts w:ascii="Arial" w:eastAsia="Arial" w:hAnsi="Arial" w:cs="Arial"/>
        <w:b w:val="0"/>
        <w:i w:val="0"/>
        <w:smallCaps w:val="0"/>
        <w:strike w:val="0"/>
        <w:color w:val="000000"/>
        <w:sz w:val="20"/>
        <w:szCs w:val="20"/>
        <w:u w:val="none"/>
        <w:vertAlign w:val="baseline"/>
      </w:rPr>
    </w:lvl>
    <w:lvl w:ilvl="2">
      <w:start w:val="1"/>
      <w:numFmt w:val="decimal"/>
      <w:lvlText w:val="%3."/>
      <w:lvlJc w:val="left"/>
      <w:pPr>
        <w:ind w:left="794" w:hanging="794"/>
      </w:pPr>
      <w:rPr>
        <w:b w:val="0"/>
      </w:rPr>
    </w:lvl>
    <w:lvl w:ilvl="3">
      <w:start w:val="1"/>
      <w:numFmt w:val="lowerLetter"/>
      <w:lvlText w:val="(%4)"/>
      <w:lvlJc w:val="left"/>
      <w:pPr>
        <w:ind w:left="1587" w:hanging="793"/>
      </w:pPr>
      <w:rPr>
        <w:b w:val="0"/>
        <w:i w:val="0"/>
      </w:rPr>
    </w:lvl>
    <w:lvl w:ilvl="4">
      <w:start w:val="1"/>
      <w:numFmt w:val="lowerRoman"/>
      <w:lvlText w:val="(%5)"/>
      <w:lvlJc w:val="left"/>
      <w:pPr>
        <w:ind w:left="2381" w:hanging="794"/>
      </w:pPr>
    </w:lvl>
    <w:lvl w:ilvl="5">
      <w:start w:val="1"/>
      <w:numFmt w:val="upperLetter"/>
      <w:lvlText w:val="(%6)"/>
      <w:lvlJc w:val="left"/>
      <w:pPr>
        <w:ind w:left="3175" w:hanging="794"/>
      </w:pPr>
    </w:lvl>
    <w:lvl w:ilvl="6">
      <w:start w:val="1"/>
      <w:numFmt w:val="decimal"/>
      <w:lvlText w:val="UNDEFINED"/>
      <w:lvlJc w:val="left"/>
      <w:pPr>
        <w:ind w:left="3969" w:hanging="794"/>
      </w:pPr>
    </w:lvl>
    <w:lvl w:ilvl="7">
      <w:start w:val="1"/>
      <w:numFmt w:val="decimal"/>
      <w:lvlText w:val="UNDEFINED"/>
      <w:lvlJc w:val="left"/>
      <w:pPr>
        <w:ind w:left="4762" w:hanging="793"/>
      </w:pPr>
    </w:lvl>
    <w:lvl w:ilvl="8">
      <w:start w:val="1"/>
      <w:numFmt w:val="decimal"/>
      <w:lvlText w:val="UNDEFINED"/>
      <w:lvlJc w:val="left"/>
      <w:pPr>
        <w:ind w:left="5556" w:hanging="794"/>
      </w:pPr>
    </w:lvl>
  </w:abstractNum>
  <w:abstractNum w:abstractNumId="16" w15:restartNumberingAfterBreak="0">
    <w:nsid w:val="3F1C689C"/>
    <w:multiLevelType w:val="multilevel"/>
    <w:tmpl w:val="F9F4CEFE"/>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6EB73D2"/>
    <w:multiLevelType w:val="multilevel"/>
    <w:tmpl w:val="013CDD2C"/>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8" w15:restartNumberingAfterBreak="0">
    <w:nsid w:val="4C255DA8"/>
    <w:multiLevelType w:val="multilevel"/>
    <w:tmpl w:val="A3B4D9BC"/>
    <w:lvl w:ilvl="0">
      <w:start w:val="1"/>
      <w:numFmt w:val="decimal"/>
      <w:lvlText w:val="%1."/>
      <w:lvlJc w:val="left"/>
      <w:pPr>
        <w:ind w:left="360" w:hanging="360"/>
      </w:pPr>
    </w:lvl>
    <w:lvl w:ilvl="1">
      <w:start w:val="1"/>
      <w:numFmt w:val="decimal"/>
      <w:lvlText w:val="%1.%2"/>
      <w:lvlJc w:val="left"/>
      <w:pPr>
        <w:ind w:left="360" w:hanging="360"/>
      </w:pPr>
      <w:rPr>
        <w:rFonts w:ascii="Arial" w:eastAsia="Arial" w:hAnsi="Arial" w:cs="Arial"/>
        <w:b w:val="0"/>
        <w:i w:val="0"/>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9" w15:restartNumberingAfterBreak="0">
    <w:nsid w:val="501741AC"/>
    <w:multiLevelType w:val="multilevel"/>
    <w:tmpl w:val="3050D872"/>
    <w:lvl w:ilvl="0">
      <w:start w:val="1"/>
      <w:numFmt w:val="decimal"/>
      <w:lvlText w:val="%1"/>
      <w:lvlJc w:val="left"/>
      <w:pPr>
        <w:ind w:left="360" w:hanging="360"/>
      </w:pPr>
      <w:rPr>
        <w:b/>
        <w:sz w:val="24"/>
        <w:szCs w:val="24"/>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05E6A0F"/>
    <w:multiLevelType w:val="multilevel"/>
    <w:tmpl w:val="070466F6"/>
    <w:lvl w:ilvl="0">
      <w:start w:val="2"/>
      <w:numFmt w:val="decimal"/>
      <w:lvlText w:val="%1"/>
      <w:lvlJc w:val="left"/>
      <w:pPr>
        <w:ind w:left="360" w:hanging="360"/>
      </w:pPr>
    </w:lvl>
    <w:lvl w:ilvl="1">
      <w:start w:val="1"/>
      <w:numFmt w:val="decimal"/>
      <w:lvlText w:val="%1.%2"/>
      <w:lvlJc w:val="left"/>
      <w:pPr>
        <w:ind w:left="360" w:hanging="360"/>
      </w:pPr>
      <w:rPr>
        <w:rFonts w:ascii="Arial" w:eastAsia="Arial" w:hAnsi="Arial" w:cs="Arial"/>
        <w:b w:val="0"/>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549F159B"/>
    <w:multiLevelType w:val="multilevel"/>
    <w:tmpl w:val="FFFC054C"/>
    <w:lvl w:ilvl="0">
      <w:start w:val="1"/>
      <w:numFmt w:val="decimal"/>
      <w:lvlText w:val="%1."/>
      <w:lvlJc w:val="left"/>
      <w:pPr>
        <w:ind w:left="794" w:hanging="794"/>
      </w:pPr>
      <w:rPr>
        <w:rFonts w:ascii="Arial Bold" w:eastAsia="Arial Bold" w:hAnsi="Arial Bold" w:cs="Arial Bold"/>
        <w:b/>
        <w:i w:val="0"/>
      </w:rPr>
    </w:lvl>
    <w:lvl w:ilvl="1">
      <w:start w:val="1"/>
      <w:numFmt w:val="decimal"/>
      <w:lvlText w:val="%1.%2"/>
      <w:lvlJc w:val="left"/>
      <w:pPr>
        <w:ind w:left="794" w:hanging="794"/>
      </w:pPr>
      <w:rPr>
        <w:rFonts w:ascii="Arial" w:eastAsia="Arial" w:hAnsi="Arial" w:cs="Arial"/>
        <w:b w:val="0"/>
        <w:i w:val="0"/>
        <w:smallCaps w:val="0"/>
        <w:strike w:val="0"/>
        <w:color w:val="000000"/>
        <w:sz w:val="20"/>
        <w:szCs w:val="20"/>
        <w:u w:val="none"/>
        <w:vertAlign w:val="baseline"/>
      </w:rPr>
    </w:lvl>
    <w:lvl w:ilvl="2">
      <w:start w:val="1"/>
      <w:numFmt w:val="decimal"/>
      <w:lvlText w:val="%3."/>
      <w:lvlJc w:val="left"/>
      <w:pPr>
        <w:ind w:left="794" w:hanging="794"/>
      </w:pPr>
      <w:rPr>
        <w:b w:val="0"/>
      </w:rPr>
    </w:lvl>
    <w:lvl w:ilvl="3">
      <w:start w:val="1"/>
      <w:numFmt w:val="lowerLetter"/>
      <w:lvlText w:val="(%4)"/>
      <w:lvlJc w:val="left"/>
      <w:pPr>
        <w:ind w:left="1587" w:hanging="793"/>
      </w:pPr>
      <w:rPr>
        <w:b w:val="0"/>
        <w:i w:val="0"/>
      </w:rPr>
    </w:lvl>
    <w:lvl w:ilvl="4">
      <w:start w:val="1"/>
      <w:numFmt w:val="lowerRoman"/>
      <w:lvlText w:val="(%5)"/>
      <w:lvlJc w:val="left"/>
      <w:pPr>
        <w:ind w:left="2381" w:hanging="794"/>
      </w:pPr>
    </w:lvl>
    <w:lvl w:ilvl="5">
      <w:start w:val="1"/>
      <w:numFmt w:val="upperLetter"/>
      <w:lvlText w:val="(%6)"/>
      <w:lvlJc w:val="left"/>
      <w:pPr>
        <w:ind w:left="3175" w:hanging="794"/>
      </w:pPr>
    </w:lvl>
    <w:lvl w:ilvl="6">
      <w:start w:val="1"/>
      <w:numFmt w:val="decimal"/>
      <w:lvlText w:val="UNDEFINED"/>
      <w:lvlJc w:val="left"/>
      <w:pPr>
        <w:ind w:left="3969" w:hanging="794"/>
      </w:pPr>
    </w:lvl>
    <w:lvl w:ilvl="7">
      <w:start w:val="1"/>
      <w:numFmt w:val="decimal"/>
      <w:lvlText w:val="UNDEFINED"/>
      <w:lvlJc w:val="left"/>
      <w:pPr>
        <w:ind w:left="4762" w:hanging="793"/>
      </w:pPr>
    </w:lvl>
    <w:lvl w:ilvl="8">
      <w:start w:val="1"/>
      <w:numFmt w:val="decimal"/>
      <w:lvlText w:val="UNDEFINED"/>
      <w:lvlJc w:val="left"/>
      <w:pPr>
        <w:ind w:left="5556" w:hanging="794"/>
      </w:pPr>
    </w:lvl>
  </w:abstractNum>
  <w:abstractNum w:abstractNumId="22" w15:restartNumberingAfterBreak="0">
    <w:nsid w:val="606F5678"/>
    <w:multiLevelType w:val="multilevel"/>
    <w:tmpl w:val="DD8496DE"/>
    <w:lvl w:ilvl="0">
      <w:start w:val="1"/>
      <w:numFmt w:val="decimal"/>
      <w:lvlText w:val="%1."/>
      <w:lvlJc w:val="left"/>
      <w:pPr>
        <w:ind w:left="360" w:hanging="360"/>
      </w:pPr>
    </w:lvl>
    <w:lvl w:ilvl="1">
      <w:start w:val="1"/>
      <w:numFmt w:val="decimal"/>
      <w:lvlText w:val="%1.%2"/>
      <w:lvlJc w:val="left"/>
      <w:pPr>
        <w:ind w:left="360" w:hanging="360"/>
      </w:pPr>
      <w:rPr>
        <w:rFonts w:ascii="Arial" w:eastAsia="Arial" w:hAnsi="Arial" w:cs="Arial"/>
        <w:b w:val="0"/>
        <w:i w:val="0"/>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3" w15:restartNumberingAfterBreak="0">
    <w:nsid w:val="655C4E96"/>
    <w:multiLevelType w:val="multilevel"/>
    <w:tmpl w:val="0C9E7980"/>
    <w:lvl w:ilvl="0">
      <w:start w:val="1"/>
      <w:numFmt w:val="bullet"/>
      <w:lvlText w:val="●"/>
      <w:lvlJc w:val="left"/>
      <w:pPr>
        <w:ind w:left="1080" w:hanging="360"/>
      </w:pPr>
      <w:rPr>
        <w:rFonts w:ascii="Noto Sans Symbols" w:eastAsia="Noto Sans Symbols" w:hAnsi="Noto Sans Symbols" w:cs="Noto Sans Symbols"/>
        <w:b/>
        <w:sz w:val="24"/>
        <w:szCs w:val="24"/>
      </w:rPr>
    </w:lvl>
    <w:lvl w:ilvl="1">
      <w:start w:val="1"/>
      <w:numFmt w:val="decimal"/>
      <w:lvlText w:val="●.%2"/>
      <w:lvlJc w:val="left"/>
      <w:pPr>
        <w:ind w:left="1080" w:hanging="360"/>
      </w:pPr>
      <w:rPr>
        <w:rFonts w:ascii="Arial" w:eastAsia="Arial" w:hAnsi="Arial" w:cs="Arial"/>
        <w:sz w:val="20"/>
        <w:szCs w:val="20"/>
      </w:rPr>
    </w:lvl>
    <w:lvl w:ilvl="2">
      <w:start w:val="1"/>
      <w:numFmt w:val="decimal"/>
      <w:lvlText w:val="●.%2.%3"/>
      <w:lvlJc w:val="left"/>
      <w:pPr>
        <w:ind w:left="1440" w:hanging="720"/>
      </w:pPr>
    </w:lvl>
    <w:lvl w:ilvl="3">
      <w:start w:val="1"/>
      <w:numFmt w:val="bullet"/>
      <w:lvlText w:val="●"/>
      <w:lvlJc w:val="left"/>
      <w:pPr>
        <w:ind w:left="1440" w:hanging="720"/>
      </w:pPr>
      <w:rPr>
        <w:rFonts w:ascii="Noto Sans Symbols" w:eastAsia="Noto Sans Symbols" w:hAnsi="Noto Sans Symbols" w:cs="Noto Sans Symbols"/>
      </w:rPr>
    </w:lvl>
    <w:lvl w:ilvl="4">
      <w:start w:val="1"/>
      <w:numFmt w:val="decimal"/>
      <w:lvlText w:val="●.%2.%3.●.%5"/>
      <w:lvlJc w:val="left"/>
      <w:pPr>
        <w:ind w:left="1800" w:hanging="1080"/>
      </w:pPr>
    </w:lvl>
    <w:lvl w:ilvl="5">
      <w:start w:val="1"/>
      <w:numFmt w:val="decimal"/>
      <w:lvlText w:val="●.%2.%3.●.%5.%6"/>
      <w:lvlJc w:val="left"/>
      <w:pPr>
        <w:ind w:left="1800" w:hanging="1080"/>
      </w:pPr>
    </w:lvl>
    <w:lvl w:ilvl="6">
      <w:start w:val="1"/>
      <w:numFmt w:val="decimal"/>
      <w:lvlText w:val="●.%2.%3.●.%5.%6.%7"/>
      <w:lvlJc w:val="left"/>
      <w:pPr>
        <w:ind w:left="2160" w:hanging="1440"/>
      </w:pPr>
    </w:lvl>
    <w:lvl w:ilvl="7">
      <w:start w:val="1"/>
      <w:numFmt w:val="decimal"/>
      <w:lvlText w:val="●.%2.%3.●.%5.%6.%7.%8"/>
      <w:lvlJc w:val="left"/>
      <w:pPr>
        <w:ind w:left="2160" w:hanging="1440"/>
      </w:pPr>
    </w:lvl>
    <w:lvl w:ilvl="8">
      <w:start w:val="1"/>
      <w:numFmt w:val="decimal"/>
      <w:lvlText w:val="●.%2.%3.●.%5.%6.%7.%8.%9"/>
      <w:lvlJc w:val="left"/>
      <w:pPr>
        <w:ind w:left="2520" w:hanging="1800"/>
      </w:pPr>
    </w:lvl>
  </w:abstractNum>
  <w:abstractNum w:abstractNumId="24" w15:restartNumberingAfterBreak="0">
    <w:nsid w:val="68210B24"/>
    <w:multiLevelType w:val="multilevel"/>
    <w:tmpl w:val="1EFE59B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5" w15:restartNumberingAfterBreak="0">
    <w:nsid w:val="6D285601"/>
    <w:multiLevelType w:val="multilevel"/>
    <w:tmpl w:val="78942F9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D900174"/>
    <w:multiLevelType w:val="multilevel"/>
    <w:tmpl w:val="CD4A3984"/>
    <w:lvl w:ilvl="0">
      <w:start w:val="1"/>
      <w:numFmt w:val="bullet"/>
      <w:lvlText w:val="●"/>
      <w:lvlJc w:val="left"/>
      <w:pPr>
        <w:ind w:left="1154" w:hanging="360"/>
      </w:pPr>
      <w:rPr>
        <w:rFonts w:ascii="Noto Sans Symbols" w:eastAsia="Noto Sans Symbols" w:hAnsi="Noto Sans Symbols" w:cs="Noto Sans Symbols"/>
      </w:rPr>
    </w:lvl>
    <w:lvl w:ilvl="1">
      <w:start w:val="1"/>
      <w:numFmt w:val="bullet"/>
      <w:lvlText w:val="o"/>
      <w:lvlJc w:val="left"/>
      <w:pPr>
        <w:ind w:left="1874" w:hanging="360"/>
      </w:pPr>
      <w:rPr>
        <w:rFonts w:ascii="Courier New" w:eastAsia="Courier New" w:hAnsi="Courier New" w:cs="Courier New"/>
      </w:rPr>
    </w:lvl>
    <w:lvl w:ilvl="2">
      <w:start w:val="1"/>
      <w:numFmt w:val="bullet"/>
      <w:lvlText w:val="▪"/>
      <w:lvlJc w:val="left"/>
      <w:pPr>
        <w:ind w:left="2594" w:hanging="360"/>
      </w:pPr>
      <w:rPr>
        <w:rFonts w:ascii="Noto Sans Symbols" w:eastAsia="Noto Sans Symbols" w:hAnsi="Noto Sans Symbols" w:cs="Noto Sans Symbols"/>
      </w:rPr>
    </w:lvl>
    <w:lvl w:ilvl="3">
      <w:start w:val="1"/>
      <w:numFmt w:val="bullet"/>
      <w:lvlText w:val="●"/>
      <w:lvlJc w:val="left"/>
      <w:pPr>
        <w:ind w:left="3314" w:hanging="360"/>
      </w:pPr>
      <w:rPr>
        <w:rFonts w:ascii="Noto Sans Symbols" w:eastAsia="Noto Sans Symbols" w:hAnsi="Noto Sans Symbols" w:cs="Noto Sans Symbols"/>
      </w:rPr>
    </w:lvl>
    <w:lvl w:ilvl="4">
      <w:start w:val="1"/>
      <w:numFmt w:val="bullet"/>
      <w:lvlText w:val="o"/>
      <w:lvlJc w:val="left"/>
      <w:pPr>
        <w:ind w:left="4034" w:hanging="360"/>
      </w:pPr>
      <w:rPr>
        <w:rFonts w:ascii="Courier New" w:eastAsia="Courier New" w:hAnsi="Courier New" w:cs="Courier New"/>
      </w:rPr>
    </w:lvl>
    <w:lvl w:ilvl="5">
      <w:start w:val="1"/>
      <w:numFmt w:val="bullet"/>
      <w:lvlText w:val="▪"/>
      <w:lvlJc w:val="left"/>
      <w:pPr>
        <w:ind w:left="4754" w:hanging="360"/>
      </w:pPr>
      <w:rPr>
        <w:rFonts w:ascii="Noto Sans Symbols" w:eastAsia="Noto Sans Symbols" w:hAnsi="Noto Sans Symbols" w:cs="Noto Sans Symbols"/>
      </w:rPr>
    </w:lvl>
    <w:lvl w:ilvl="6">
      <w:start w:val="1"/>
      <w:numFmt w:val="bullet"/>
      <w:lvlText w:val="●"/>
      <w:lvlJc w:val="left"/>
      <w:pPr>
        <w:ind w:left="5474" w:hanging="360"/>
      </w:pPr>
      <w:rPr>
        <w:rFonts w:ascii="Noto Sans Symbols" w:eastAsia="Noto Sans Symbols" w:hAnsi="Noto Sans Symbols" w:cs="Noto Sans Symbols"/>
      </w:rPr>
    </w:lvl>
    <w:lvl w:ilvl="7">
      <w:start w:val="1"/>
      <w:numFmt w:val="bullet"/>
      <w:lvlText w:val="o"/>
      <w:lvlJc w:val="left"/>
      <w:pPr>
        <w:ind w:left="6194" w:hanging="360"/>
      </w:pPr>
      <w:rPr>
        <w:rFonts w:ascii="Courier New" w:eastAsia="Courier New" w:hAnsi="Courier New" w:cs="Courier New"/>
      </w:rPr>
    </w:lvl>
    <w:lvl w:ilvl="8">
      <w:start w:val="1"/>
      <w:numFmt w:val="bullet"/>
      <w:lvlText w:val="▪"/>
      <w:lvlJc w:val="left"/>
      <w:pPr>
        <w:ind w:left="6914" w:hanging="360"/>
      </w:pPr>
      <w:rPr>
        <w:rFonts w:ascii="Noto Sans Symbols" w:eastAsia="Noto Sans Symbols" w:hAnsi="Noto Sans Symbols" w:cs="Noto Sans Symbols"/>
      </w:rPr>
    </w:lvl>
  </w:abstractNum>
  <w:abstractNum w:abstractNumId="27" w15:restartNumberingAfterBreak="0">
    <w:nsid w:val="6E33667C"/>
    <w:multiLevelType w:val="multilevel"/>
    <w:tmpl w:val="C3E6DDF4"/>
    <w:lvl w:ilvl="0">
      <w:start w:val="5"/>
      <w:numFmt w:val="decimal"/>
      <w:lvlText w:val="%1"/>
      <w:lvlJc w:val="left"/>
      <w:pPr>
        <w:ind w:left="360" w:hanging="360"/>
      </w:pPr>
      <w:rPr>
        <w:rFonts w:ascii="Arial" w:eastAsia="Arial" w:hAnsi="Arial" w:cs="Arial"/>
        <w:color w:val="000000"/>
        <w:sz w:val="20"/>
        <w:szCs w:val="20"/>
      </w:rPr>
    </w:lvl>
    <w:lvl w:ilvl="1">
      <w:start w:val="1"/>
      <w:numFmt w:val="decimal"/>
      <w:lvlText w:val="%1.%2"/>
      <w:lvlJc w:val="left"/>
      <w:pPr>
        <w:ind w:left="360" w:hanging="360"/>
      </w:pPr>
      <w:rPr>
        <w:rFonts w:ascii="Arial" w:eastAsia="Arial" w:hAnsi="Arial" w:cs="Arial"/>
        <w:color w:val="000000"/>
        <w:sz w:val="20"/>
        <w:szCs w:val="20"/>
      </w:rPr>
    </w:lvl>
    <w:lvl w:ilvl="2">
      <w:start w:val="1"/>
      <w:numFmt w:val="decimal"/>
      <w:lvlText w:val="%1.%2.%3"/>
      <w:lvlJc w:val="left"/>
      <w:pPr>
        <w:ind w:left="720" w:hanging="720"/>
      </w:pPr>
      <w:rPr>
        <w:rFonts w:ascii="Arial" w:eastAsia="Arial" w:hAnsi="Arial" w:cs="Arial"/>
        <w:color w:val="000000"/>
        <w:sz w:val="20"/>
        <w:szCs w:val="20"/>
      </w:rPr>
    </w:lvl>
    <w:lvl w:ilvl="3">
      <w:start w:val="1"/>
      <w:numFmt w:val="decimal"/>
      <w:lvlText w:val="%1.%2.%3.%4"/>
      <w:lvlJc w:val="left"/>
      <w:pPr>
        <w:ind w:left="720" w:hanging="720"/>
      </w:pPr>
      <w:rPr>
        <w:rFonts w:ascii="Arial" w:eastAsia="Arial" w:hAnsi="Arial" w:cs="Arial"/>
        <w:color w:val="000000"/>
        <w:sz w:val="20"/>
        <w:szCs w:val="20"/>
      </w:rPr>
    </w:lvl>
    <w:lvl w:ilvl="4">
      <w:start w:val="1"/>
      <w:numFmt w:val="decimal"/>
      <w:lvlText w:val="%1.%2.%3.%4.%5"/>
      <w:lvlJc w:val="left"/>
      <w:pPr>
        <w:ind w:left="1080" w:hanging="1080"/>
      </w:pPr>
      <w:rPr>
        <w:rFonts w:ascii="Arial" w:eastAsia="Arial" w:hAnsi="Arial" w:cs="Arial"/>
        <w:color w:val="000000"/>
        <w:sz w:val="20"/>
        <w:szCs w:val="20"/>
      </w:rPr>
    </w:lvl>
    <w:lvl w:ilvl="5">
      <w:start w:val="1"/>
      <w:numFmt w:val="decimal"/>
      <w:lvlText w:val="%1.%2.%3.%4.%5.%6"/>
      <w:lvlJc w:val="left"/>
      <w:pPr>
        <w:ind w:left="1080" w:hanging="1080"/>
      </w:pPr>
      <w:rPr>
        <w:rFonts w:ascii="Arial" w:eastAsia="Arial" w:hAnsi="Arial" w:cs="Arial"/>
        <w:color w:val="000000"/>
        <w:sz w:val="20"/>
        <w:szCs w:val="20"/>
      </w:rPr>
    </w:lvl>
    <w:lvl w:ilvl="6">
      <w:start w:val="1"/>
      <w:numFmt w:val="decimal"/>
      <w:lvlText w:val="%1.%2.%3.%4.%5.%6.%7"/>
      <w:lvlJc w:val="left"/>
      <w:pPr>
        <w:ind w:left="1440" w:hanging="1440"/>
      </w:pPr>
      <w:rPr>
        <w:rFonts w:ascii="Arial" w:eastAsia="Arial" w:hAnsi="Arial" w:cs="Arial"/>
        <w:color w:val="000000"/>
        <w:sz w:val="20"/>
        <w:szCs w:val="20"/>
      </w:rPr>
    </w:lvl>
    <w:lvl w:ilvl="7">
      <w:start w:val="1"/>
      <w:numFmt w:val="decimal"/>
      <w:lvlText w:val="%1.%2.%3.%4.%5.%6.%7.%8"/>
      <w:lvlJc w:val="left"/>
      <w:pPr>
        <w:ind w:left="1440" w:hanging="1440"/>
      </w:pPr>
      <w:rPr>
        <w:rFonts w:ascii="Arial" w:eastAsia="Arial" w:hAnsi="Arial" w:cs="Arial"/>
        <w:color w:val="000000"/>
        <w:sz w:val="20"/>
        <w:szCs w:val="20"/>
      </w:rPr>
    </w:lvl>
    <w:lvl w:ilvl="8">
      <w:start w:val="1"/>
      <w:numFmt w:val="decimal"/>
      <w:lvlText w:val="%1.%2.%3.%4.%5.%6.%7.%8.%9"/>
      <w:lvlJc w:val="left"/>
      <w:pPr>
        <w:ind w:left="1800" w:hanging="1800"/>
      </w:pPr>
      <w:rPr>
        <w:rFonts w:ascii="Arial" w:eastAsia="Arial" w:hAnsi="Arial" w:cs="Arial"/>
        <w:color w:val="000000"/>
        <w:sz w:val="20"/>
        <w:szCs w:val="20"/>
      </w:rPr>
    </w:lvl>
  </w:abstractNum>
  <w:abstractNum w:abstractNumId="28" w15:restartNumberingAfterBreak="0">
    <w:nsid w:val="6E451B28"/>
    <w:multiLevelType w:val="multilevel"/>
    <w:tmpl w:val="16B22932"/>
    <w:lvl w:ilvl="0">
      <w:start w:val="5"/>
      <w:numFmt w:val="decimal"/>
      <w:lvlText w:val="%1"/>
      <w:lvlJc w:val="left"/>
      <w:pPr>
        <w:ind w:left="360" w:hanging="360"/>
      </w:pPr>
      <w:rPr>
        <w:rFonts w:ascii="Arial" w:eastAsia="Arial" w:hAnsi="Arial" w:cs="Arial"/>
        <w:b/>
        <w:color w:val="00000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52E3D06"/>
    <w:multiLevelType w:val="multilevel"/>
    <w:tmpl w:val="803A9CC8"/>
    <w:lvl w:ilvl="0">
      <w:start w:val="1"/>
      <w:numFmt w:val="decimal"/>
      <w:lvlText w:val="%1."/>
      <w:lvlJc w:val="left"/>
      <w:pPr>
        <w:ind w:left="794" w:hanging="794"/>
      </w:pPr>
      <w:rPr>
        <w:b/>
        <w:i w:val="0"/>
      </w:rPr>
    </w:lvl>
    <w:lvl w:ilvl="1">
      <w:start w:val="2"/>
      <w:numFmt w:val="decimal"/>
      <w:lvlText w:val="%1.%2"/>
      <w:lvlJc w:val="left"/>
      <w:pPr>
        <w:ind w:left="794" w:hanging="794"/>
      </w:pPr>
      <w:rPr>
        <w:rFonts w:ascii="Arial" w:eastAsia="Arial" w:hAnsi="Arial" w:cs="Arial"/>
        <w:b w:val="0"/>
        <w:i w:val="0"/>
        <w:smallCaps w:val="0"/>
        <w:strike w:val="0"/>
        <w:color w:val="000000"/>
        <w:sz w:val="20"/>
        <w:szCs w:val="20"/>
        <w:u w:val="none"/>
        <w:vertAlign w:val="baseline"/>
      </w:rPr>
    </w:lvl>
    <w:lvl w:ilvl="2">
      <w:start w:val="1"/>
      <w:numFmt w:val="decimal"/>
      <w:lvlText w:val="%3."/>
      <w:lvlJc w:val="left"/>
      <w:pPr>
        <w:ind w:left="794" w:hanging="794"/>
      </w:pPr>
      <w:rPr>
        <w:b w:val="0"/>
      </w:rPr>
    </w:lvl>
    <w:lvl w:ilvl="3">
      <w:start w:val="1"/>
      <w:numFmt w:val="lowerLetter"/>
      <w:lvlText w:val="(%4)"/>
      <w:lvlJc w:val="left"/>
      <w:pPr>
        <w:ind w:left="1587" w:hanging="793"/>
      </w:pPr>
      <w:rPr>
        <w:b w:val="0"/>
        <w:i w:val="0"/>
      </w:rPr>
    </w:lvl>
    <w:lvl w:ilvl="4">
      <w:start w:val="1"/>
      <w:numFmt w:val="lowerRoman"/>
      <w:lvlText w:val="(%5)"/>
      <w:lvlJc w:val="left"/>
      <w:pPr>
        <w:ind w:left="2381" w:hanging="794"/>
      </w:pPr>
    </w:lvl>
    <w:lvl w:ilvl="5">
      <w:start w:val="1"/>
      <w:numFmt w:val="upperLetter"/>
      <w:lvlText w:val="(%6)"/>
      <w:lvlJc w:val="left"/>
      <w:pPr>
        <w:ind w:left="3175" w:hanging="794"/>
      </w:pPr>
    </w:lvl>
    <w:lvl w:ilvl="6">
      <w:start w:val="1"/>
      <w:numFmt w:val="decimal"/>
      <w:lvlText w:val="UNDEFINED"/>
      <w:lvlJc w:val="left"/>
      <w:pPr>
        <w:ind w:left="3969" w:hanging="794"/>
      </w:pPr>
    </w:lvl>
    <w:lvl w:ilvl="7">
      <w:start w:val="1"/>
      <w:numFmt w:val="decimal"/>
      <w:lvlText w:val="UNDEFINED"/>
      <w:lvlJc w:val="left"/>
      <w:pPr>
        <w:ind w:left="4762" w:hanging="793"/>
      </w:pPr>
    </w:lvl>
    <w:lvl w:ilvl="8">
      <w:start w:val="1"/>
      <w:numFmt w:val="decimal"/>
      <w:lvlText w:val="UNDEFINED"/>
      <w:lvlJc w:val="left"/>
      <w:pPr>
        <w:ind w:left="5556" w:hanging="794"/>
      </w:pPr>
    </w:lvl>
  </w:abstractNum>
  <w:abstractNum w:abstractNumId="30" w15:restartNumberingAfterBreak="0">
    <w:nsid w:val="7C006798"/>
    <w:multiLevelType w:val="multilevel"/>
    <w:tmpl w:val="189C8ABE"/>
    <w:lvl w:ilvl="0">
      <w:start w:val="1"/>
      <w:numFmt w:val="bullet"/>
      <w:lvlText w:val="●"/>
      <w:lvlJc w:val="left"/>
      <w:pPr>
        <w:ind w:left="1080" w:hanging="360"/>
      </w:pPr>
      <w:rPr>
        <w:rFonts w:ascii="Noto Sans Symbols" w:eastAsia="Noto Sans Symbols" w:hAnsi="Noto Sans Symbols" w:cs="Noto Sans Symbols"/>
      </w:rPr>
    </w:lvl>
    <w:lvl w:ilvl="1">
      <w:start w:val="1"/>
      <w:numFmt w:val="decimal"/>
      <w:lvlText w:val="●.%2"/>
      <w:lvlJc w:val="left"/>
      <w:pPr>
        <w:ind w:left="1080" w:hanging="360"/>
      </w:pPr>
      <w:rPr>
        <w:rFonts w:ascii="Arial" w:eastAsia="Arial" w:hAnsi="Arial" w:cs="Arial"/>
        <w:sz w:val="20"/>
        <w:szCs w:val="20"/>
      </w:rPr>
    </w:lvl>
    <w:lvl w:ilvl="2">
      <w:start w:val="1"/>
      <w:numFmt w:val="decimal"/>
      <w:lvlText w:val="●.%2.%3"/>
      <w:lvlJc w:val="left"/>
      <w:pPr>
        <w:ind w:left="1440" w:hanging="720"/>
      </w:pPr>
    </w:lvl>
    <w:lvl w:ilvl="3">
      <w:start w:val="1"/>
      <w:numFmt w:val="bullet"/>
      <w:lvlText w:val="●"/>
      <w:lvlJc w:val="left"/>
      <w:pPr>
        <w:ind w:left="1440" w:hanging="720"/>
      </w:pPr>
      <w:rPr>
        <w:rFonts w:ascii="Noto Sans Symbols" w:eastAsia="Noto Sans Symbols" w:hAnsi="Noto Sans Symbols" w:cs="Noto Sans Symbols"/>
      </w:rPr>
    </w:lvl>
    <w:lvl w:ilvl="4">
      <w:start w:val="1"/>
      <w:numFmt w:val="decimal"/>
      <w:lvlText w:val="●.%2.%3.●.%5"/>
      <w:lvlJc w:val="left"/>
      <w:pPr>
        <w:ind w:left="1800" w:hanging="1080"/>
      </w:pPr>
    </w:lvl>
    <w:lvl w:ilvl="5">
      <w:start w:val="1"/>
      <w:numFmt w:val="decimal"/>
      <w:lvlText w:val="●.%2.%3.●.%5.%6"/>
      <w:lvlJc w:val="left"/>
      <w:pPr>
        <w:ind w:left="1800" w:hanging="1080"/>
      </w:pPr>
    </w:lvl>
    <w:lvl w:ilvl="6">
      <w:start w:val="1"/>
      <w:numFmt w:val="decimal"/>
      <w:lvlText w:val="●.%2.%3.●.%5.%6.%7"/>
      <w:lvlJc w:val="left"/>
      <w:pPr>
        <w:ind w:left="2160" w:hanging="1440"/>
      </w:pPr>
    </w:lvl>
    <w:lvl w:ilvl="7">
      <w:start w:val="1"/>
      <w:numFmt w:val="decimal"/>
      <w:lvlText w:val="●.%2.%3.●.%5.%6.%7.%8"/>
      <w:lvlJc w:val="left"/>
      <w:pPr>
        <w:ind w:left="2160" w:hanging="1440"/>
      </w:pPr>
    </w:lvl>
    <w:lvl w:ilvl="8">
      <w:start w:val="1"/>
      <w:numFmt w:val="decimal"/>
      <w:lvlText w:val="●.%2.%3.●.%5.%6.%7.%8.%9"/>
      <w:lvlJc w:val="left"/>
      <w:pPr>
        <w:ind w:left="2520" w:hanging="1800"/>
      </w:pPr>
    </w:lvl>
  </w:abstractNum>
  <w:num w:numId="1">
    <w:abstractNumId w:val="3"/>
  </w:num>
  <w:num w:numId="2">
    <w:abstractNumId w:val="6"/>
  </w:num>
  <w:num w:numId="3">
    <w:abstractNumId w:val="16"/>
  </w:num>
  <w:num w:numId="4">
    <w:abstractNumId w:val="14"/>
  </w:num>
  <w:num w:numId="5">
    <w:abstractNumId w:val="30"/>
  </w:num>
  <w:num w:numId="6">
    <w:abstractNumId w:val="7"/>
  </w:num>
  <w:num w:numId="7">
    <w:abstractNumId w:val="18"/>
  </w:num>
  <w:num w:numId="8">
    <w:abstractNumId w:val="22"/>
  </w:num>
  <w:num w:numId="9">
    <w:abstractNumId w:val="8"/>
  </w:num>
  <w:num w:numId="10">
    <w:abstractNumId w:val="23"/>
  </w:num>
  <w:num w:numId="11">
    <w:abstractNumId w:val="21"/>
  </w:num>
  <w:num w:numId="12">
    <w:abstractNumId w:val="20"/>
  </w:num>
  <w:num w:numId="13">
    <w:abstractNumId w:val="9"/>
  </w:num>
  <w:num w:numId="14">
    <w:abstractNumId w:val="29"/>
  </w:num>
  <w:num w:numId="15">
    <w:abstractNumId w:val="4"/>
  </w:num>
  <w:num w:numId="16">
    <w:abstractNumId w:val="1"/>
  </w:num>
  <w:num w:numId="17">
    <w:abstractNumId w:val="26"/>
  </w:num>
  <w:num w:numId="18">
    <w:abstractNumId w:val="28"/>
  </w:num>
  <w:num w:numId="19">
    <w:abstractNumId w:val="27"/>
  </w:num>
  <w:num w:numId="20">
    <w:abstractNumId w:val="12"/>
  </w:num>
  <w:num w:numId="21">
    <w:abstractNumId w:val="10"/>
  </w:num>
  <w:num w:numId="22">
    <w:abstractNumId w:val="24"/>
  </w:num>
  <w:num w:numId="23">
    <w:abstractNumId w:val="0"/>
  </w:num>
  <w:num w:numId="24">
    <w:abstractNumId w:val="13"/>
  </w:num>
  <w:num w:numId="25">
    <w:abstractNumId w:val="17"/>
  </w:num>
  <w:num w:numId="26">
    <w:abstractNumId w:val="15"/>
  </w:num>
  <w:num w:numId="27">
    <w:abstractNumId w:val="5"/>
  </w:num>
  <w:num w:numId="28">
    <w:abstractNumId w:val="25"/>
  </w:num>
  <w:num w:numId="29">
    <w:abstractNumId w:val="19"/>
  </w:num>
  <w:num w:numId="30">
    <w:abstractNumId w:val="2"/>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414"/>
    <w:rsid w:val="00036A0C"/>
    <w:rsid w:val="000F0D82"/>
    <w:rsid w:val="00105CE9"/>
    <w:rsid w:val="00180297"/>
    <w:rsid w:val="001C4F5E"/>
    <w:rsid w:val="002E0D6F"/>
    <w:rsid w:val="0035195E"/>
    <w:rsid w:val="0037526D"/>
    <w:rsid w:val="004410AF"/>
    <w:rsid w:val="004E1301"/>
    <w:rsid w:val="00595032"/>
    <w:rsid w:val="006814CF"/>
    <w:rsid w:val="006878C6"/>
    <w:rsid w:val="006C0406"/>
    <w:rsid w:val="007E6963"/>
    <w:rsid w:val="009C2303"/>
    <w:rsid w:val="00A23733"/>
    <w:rsid w:val="00A346C6"/>
    <w:rsid w:val="00A6695F"/>
    <w:rsid w:val="00AE3BF5"/>
    <w:rsid w:val="00B1121F"/>
    <w:rsid w:val="00BC6384"/>
    <w:rsid w:val="00C0362E"/>
    <w:rsid w:val="00CA6833"/>
    <w:rsid w:val="00D3676B"/>
    <w:rsid w:val="00D60E5F"/>
    <w:rsid w:val="00D72414"/>
    <w:rsid w:val="00DD4CEE"/>
    <w:rsid w:val="00DE5E2A"/>
    <w:rsid w:val="00E313B4"/>
    <w:rsid w:val="00E7623C"/>
    <w:rsid w:val="00F15B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A3B2F"/>
  <w15:docId w15:val="{E4535E70-9ABF-4838-AE14-BE7FD6443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4A74"/>
  </w:style>
  <w:style w:type="paragraph" w:styleId="Heading1">
    <w:name w:val="heading 1"/>
    <w:basedOn w:val="Normal"/>
    <w:next w:val="Normal"/>
    <w:link w:val="Heading1Char"/>
    <w:uiPriority w:val="9"/>
    <w:qFormat/>
    <w:rsid w:val="006C32A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753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115C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uiPriority w:val="9"/>
    <w:qFormat/>
    <w:rsid w:val="004C6379"/>
    <w:pPr>
      <w:spacing w:before="100" w:beforeAutospacing="1" w:after="100" w:afterAutospacing="1"/>
      <w:outlineLvl w:val="3"/>
    </w:pPr>
    <w:rPr>
      <w:b/>
      <w:bCs/>
    </w:rPr>
  </w:style>
  <w:style w:type="paragraph" w:styleId="Heading5">
    <w:name w:val="heading 5"/>
    <w:basedOn w:val="Normal"/>
    <w:next w:val="Normal"/>
    <w:link w:val="Heading5Char"/>
    <w:uiPriority w:val="9"/>
    <w:semiHidden/>
    <w:unhideWhenUsed/>
    <w:qFormat/>
    <w:rsid w:val="004C6379"/>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unhideWhenUsed/>
    <w:rsid w:val="006A566E"/>
    <w:pPr>
      <w:spacing w:before="100" w:beforeAutospacing="1" w:after="100" w:afterAutospacing="1"/>
    </w:pPr>
    <w:rPr>
      <w:rFonts w:eastAsiaTheme="minorEastAsia"/>
    </w:rPr>
  </w:style>
  <w:style w:type="paragraph" w:styleId="ListParagraph">
    <w:name w:val="List Paragraph"/>
    <w:basedOn w:val="Normal"/>
    <w:link w:val="ListParagraphChar"/>
    <w:uiPriority w:val="34"/>
    <w:qFormat/>
    <w:rsid w:val="007F5CC4"/>
    <w:pPr>
      <w:ind w:left="720"/>
      <w:contextualSpacing/>
    </w:pPr>
  </w:style>
  <w:style w:type="table" w:styleId="TableGrid">
    <w:name w:val="Table Grid"/>
    <w:basedOn w:val="TableNormal"/>
    <w:uiPriority w:val="59"/>
    <w:rsid w:val="008033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6F69"/>
    <w:rPr>
      <w:sz w:val="16"/>
      <w:szCs w:val="16"/>
    </w:rPr>
  </w:style>
  <w:style w:type="paragraph" w:styleId="CommentText">
    <w:name w:val="annotation text"/>
    <w:basedOn w:val="Normal"/>
    <w:link w:val="CommentTextChar"/>
    <w:uiPriority w:val="99"/>
    <w:unhideWhenUsed/>
    <w:rsid w:val="007A6F69"/>
    <w:rPr>
      <w:sz w:val="20"/>
      <w:szCs w:val="20"/>
    </w:rPr>
  </w:style>
  <w:style w:type="character" w:customStyle="1" w:styleId="CommentTextChar">
    <w:name w:val="Comment Text Char"/>
    <w:basedOn w:val="DefaultParagraphFont"/>
    <w:link w:val="CommentText"/>
    <w:uiPriority w:val="99"/>
    <w:rsid w:val="007A6F69"/>
    <w:rPr>
      <w:sz w:val="20"/>
      <w:szCs w:val="20"/>
    </w:rPr>
  </w:style>
  <w:style w:type="paragraph" w:styleId="CommentSubject">
    <w:name w:val="annotation subject"/>
    <w:basedOn w:val="CommentText"/>
    <w:next w:val="CommentText"/>
    <w:link w:val="CommentSubjectChar"/>
    <w:uiPriority w:val="99"/>
    <w:semiHidden/>
    <w:unhideWhenUsed/>
    <w:rsid w:val="007A6F69"/>
    <w:rPr>
      <w:b/>
      <w:bCs/>
    </w:rPr>
  </w:style>
  <w:style w:type="character" w:customStyle="1" w:styleId="CommentSubjectChar">
    <w:name w:val="Comment Subject Char"/>
    <w:basedOn w:val="CommentTextChar"/>
    <w:link w:val="CommentSubject"/>
    <w:uiPriority w:val="99"/>
    <w:semiHidden/>
    <w:rsid w:val="007A6F69"/>
    <w:rPr>
      <w:b/>
      <w:bCs/>
      <w:sz w:val="20"/>
      <w:szCs w:val="20"/>
    </w:rPr>
  </w:style>
  <w:style w:type="paragraph" w:styleId="BalloonText">
    <w:name w:val="Balloon Text"/>
    <w:basedOn w:val="Normal"/>
    <w:link w:val="BalloonTextChar"/>
    <w:uiPriority w:val="99"/>
    <w:semiHidden/>
    <w:unhideWhenUsed/>
    <w:rsid w:val="007A6F69"/>
    <w:rPr>
      <w:sz w:val="18"/>
      <w:szCs w:val="18"/>
    </w:rPr>
  </w:style>
  <w:style w:type="character" w:customStyle="1" w:styleId="BalloonTextChar">
    <w:name w:val="Balloon Text Char"/>
    <w:basedOn w:val="DefaultParagraphFont"/>
    <w:link w:val="BalloonText"/>
    <w:uiPriority w:val="99"/>
    <w:semiHidden/>
    <w:rsid w:val="007A6F69"/>
    <w:rPr>
      <w:rFonts w:ascii="Times New Roman" w:hAnsi="Times New Roman" w:cs="Times New Roman"/>
      <w:sz w:val="18"/>
      <w:szCs w:val="18"/>
    </w:rPr>
  </w:style>
  <w:style w:type="paragraph" w:styleId="EndnoteText">
    <w:name w:val="endnote text"/>
    <w:basedOn w:val="Normal"/>
    <w:link w:val="EndnoteTextChar"/>
    <w:uiPriority w:val="99"/>
    <w:semiHidden/>
    <w:unhideWhenUsed/>
    <w:rsid w:val="00472A49"/>
    <w:rPr>
      <w:sz w:val="20"/>
      <w:szCs w:val="20"/>
    </w:rPr>
  </w:style>
  <w:style w:type="character" w:customStyle="1" w:styleId="EndnoteTextChar">
    <w:name w:val="Endnote Text Char"/>
    <w:basedOn w:val="DefaultParagraphFont"/>
    <w:link w:val="EndnoteText"/>
    <w:uiPriority w:val="99"/>
    <w:semiHidden/>
    <w:rsid w:val="00472A49"/>
    <w:rPr>
      <w:sz w:val="20"/>
      <w:szCs w:val="20"/>
    </w:rPr>
  </w:style>
  <w:style w:type="character" w:styleId="EndnoteReference">
    <w:name w:val="endnote reference"/>
    <w:basedOn w:val="DefaultParagraphFont"/>
    <w:uiPriority w:val="99"/>
    <w:semiHidden/>
    <w:unhideWhenUsed/>
    <w:rsid w:val="00472A49"/>
    <w:rPr>
      <w:vertAlign w:val="superscript"/>
    </w:rPr>
  </w:style>
  <w:style w:type="paragraph" w:styleId="FootnoteText">
    <w:name w:val="footnote text"/>
    <w:basedOn w:val="Normal"/>
    <w:link w:val="FootnoteTextChar"/>
    <w:uiPriority w:val="99"/>
    <w:semiHidden/>
    <w:unhideWhenUsed/>
    <w:rsid w:val="00472A49"/>
    <w:rPr>
      <w:sz w:val="20"/>
      <w:szCs w:val="20"/>
    </w:rPr>
  </w:style>
  <w:style w:type="character" w:customStyle="1" w:styleId="FootnoteTextChar">
    <w:name w:val="Footnote Text Char"/>
    <w:basedOn w:val="DefaultParagraphFont"/>
    <w:link w:val="FootnoteText"/>
    <w:uiPriority w:val="99"/>
    <w:semiHidden/>
    <w:rsid w:val="00472A49"/>
    <w:rPr>
      <w:sz w:val="20"/>
      <w:szCs w:val="20"/>
    </w:rPr>
  </w:style>
  <w:style w:type="character" w:styleId="FootnoteReference">
    <w:name w:val="footnote reference"/>
    <w:basedOn w:val="DefaultParagraphFont"/>
    <w:uiPriority w:val="99"/>
    <w:semiHidden/>
    <w:unhideWhenUsed/>
    <w:rsid w:val="00472A49"/>
    <w:rPr>
      <w:vertAlign w:val="superscript"/>
    </w:rPr>
  </w:style>
  <w:style w:type="character" w:customStyle="1" w:styleId="Heading4Char">
    <w:name w:val="Heading 4 Char"/>
    <w:basedOn w:val="DefaultParagraphFont"/>
    <w:link w:val="Heading4"/>
    <w:uiPriority w:val="9"/>
    <w:rsid w:val="004C6379"/>
    <w:rPr>
      <w:rFonts w:ascii="Times New Roman" w:eastAsia="Times New Roman" w:hAnsi="Times New Roman" w:cs="Times New Roman"/>
      <w:b/>
      <w:bCs/>
    </w:rPr>
  </w:style>
  <w:style w:type="character" w:customStyle="1" w:styleId="Heading5Char">
    <w:name w:val="Heading 5 Char"/>
    <w:basedOn w:val="DefaultParagraphFont"/>
    <w:link w:val="Heading5"/>
    <w:uiPriority w:val="9"/>
    <w:semiHidden/>
    <w:rsid w:val="004C6379"/>
    <w:rPr>
      <w:rFonts w:asciiTheme="majorHAnsi" w:eastAsiaTheme="majorEastAsia" w:hAnsiTheme="majorHAnsi" w:cstheme="majorBidi"/>
      <w:color w:val="2F5496" w:themeColor="accent1" w:themeShade="BF"/>
    </w:rPr>
  </w:style>
  <w:style w:type="character" w:styleId="Hyperlink">
    <w:name w:val="Hyperlink"/>
    <w:basedOn w:val="DefaultParagraphFont"/>
    <w:uiPriority w:val="99"/>
    <w:unhideWhenUsed/>
    <w:rsid w:val="004C6379"/>
    <w:rPr>
      <w:color w:val="0000FF"/>
      <w:u w:val="single"/>
    </w:rPr>
  </w:style>
  <w:style w:type="character" w:styleId="FollowedHyperlink">
    <w:name w:val="FollowedHyperlink"/>
    <w:basedOn w:val="DefaultParagraphFont"/>
    <w:uiPriority w:val="99"/>
    <w:semiHidden/>
    <w:unhideWhenUsed/>
    <w:rsid w:val="004C6379"/>
    <w:rPr>
      <w:color w:val="954F72" w:themeColor="followedHyperlink"/>
      <w:u w:val="single"/>
    </w:rPr>
  </w:style>
  <w:style w:type="paragraph" w:styleId="Header">
    <w:name w:val="header"/>
    <w:basedOn w:val="Normal"/>
    <w:link w:val="HeaderChar"/>
    <w:uiPriority w:val="99"/>
    <w:unhideWhenUsed/>
    <w:rsid w:val="008466DD"/>
    <w:pPr>
      <w:tabs>
        <w:tab w:val="center" w:pos="4680"/>
        <w:tab w:val="right" w:pos="9360"/>
      </w:tabs>
    </w:pPr>
  </w:style>
  <w:style w:type="character" w:customStyle="1" w:styleId="HeaderChar">
    <w:name w:val="Header Char"/>
    <w:basedOn w:val="DefaultParagraphFont"/>
    <w:link w:val="Header"/>
    <w:uiPriority w:val="99"/>
    <w:rsid w:val="008466DD"/>
  </w:style>
  <w:style w:type="paragraph" w:styleId="Footer">
    <w:name w:val="footer"/>
    <w:basedOn w:val="Normal"/>
    <w:link w:val="FooterChar"/>
    <w:uiPriority w:val="99"/>
    <w:unhideWhenUsed/>
    <w:rsid w:val="008466DD"/>
    <w:pPr>
      <w:tabs>
        <w:tab w:val="center" w:pos="4680"/>
        <w:tab w:val="right" w:pos="9360"/>
      </w:tabs>
    </w:pPr>
  </w:style>
  <w:style w:type="character" w:customStyle="1" w:styleId="FooterChar">
    <w:name w:val="Footer Char"/>
    <w:basedOn w:val="DefaultParagraphFont"/>
    <w:link w:val="Footer"/>
    <w:uiPriority w:val="99"/>
    <w:rsid w:val="008466DD"/>
  </w:style>
  <w:style w:type="character" w:customStyle="1" w:styleId="Heading2Char">
    <w:name w:val="Heading 2 Char"/>
    <w:basedOn w:val="DefaultParagraphFont"/>
    <w:link w:val="Heading2"/>
    <w:uiPriority w:val="9"/>
    <w:rsid w:val="002753BD"/>
    <w:rPr>
      <w:rFonts w:asciiTheme="majorHAnsi" w:eastAsiaTheme="majorEastAsia" w:hAnsiTheme="majorHAnsi" w:cstheme="majorBidi"/>
      <w:color w:val="2F5496" w:themeColor="accent1" w:themeShade="BF"/>
      <w:sz w:val="26"/>
      <w:szCs w:val="26"/>
    </w:rPr>
  </w:style>
  <w:style w:type="character" w:customStyle="1" w:styleId="apple-tab-span">
    <w:name w:val="apple-tab-span"/>
    <w:basedOn w:val="DefaultParagraphFont"/>
    <w:rsid w:val="002753BD"/>
  </w:style>
  <w:style w:type="character" w:customStyle="1" w:styleId="Heading1Char">
    <w:name w:val="Heading 1 Char"/>
    <w:basedOn w:val="DefaultParagraphFont"/>
    <w:link w:val="Heading1"/>
    <w:uiPriority w:val="9"/>
    <w:rsid w:val="006C32A9"/>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C32A9"/>
    <w:pPr>
      <w:spacing w:before="480" w:line="276" w:lineRule="auto"/>
      <w:outlineLvl w:val="9"/>
    </w:pPr>
    <w:rPr>
      <w:b/>
      <w:bCs/>
      <w:sz w:val="28"/>
      <w:szCs w:val="28"/>
      <w:lang w:val="en-US"/>
    </w:rPr>
  </w:style>
  <w:style w:type="paragraph" w:styleId="TOC2">
    <w:name w:val="toc 2"/>
    <w:basedOn w:val="Normal"/>
    <w:next w:val="Normal"/>
    <w:autoRedefine/>
    <w:uiPriority w:val="39"/>
    <w:unhideWhenUsed/>
    <w:rsid w:val="006C32A9"/>
    <w:pPr>
      <w:spacing w:before="120"/>
      <w:ind w:left="240"/>
    </w:pPr>
    <w:rPr>
      <w:rFonts w:cstheme="minorHAnsi"/>
      <w:b/>
      <w:bCs/>
      <w:sz w:val="22"/>
      <w:szCs w:val="22"/>
    </w:rPr>
  </w:style>
  <w:style w:type="paragraph" w:styleId="TOC1">
    <w:name w:val="toc 1"/>
    <w:basedOn w:val="Normal"/>
    <w:next w:val="Normal"/>
    <w:autoRedefine/>
    <w:uiPriority w:val="39"/>
    <w:unhideWhenUsed/>
    <w:rsid w:val="006C32A9"/>
    <w:pPr>
      <w:spacing w:before="120"/>
    </w:pPr>
    <w:rPr>
      <w:rFonts w:cstheme="minorHAnsi"/>
      <w:b/>
      <w:bCs/>
      <w:i/>
      <w:iCs/>
    </w:rPr>
  </w:style>
  <w:style w:type="paragraph" w:styleId="TOC3">
    <w:name w:val="toc 3"/>
    <w:basedOn w:val="Normal"/>
    <w:next w:val="Normal"/>
    <w:autoRedefine/>
    <w:uiPriority w:val="39"/>
    <w:semiHidden/>
    <w:unhideWhenUsed/>
    <w:rsid w:val="006C32A9"/>
    <w:pPr>
      <w:ind w:left="480"/>
    </w:pPr>
    <w:rPr>
      <w:rFonts w:cstheme="minorHAnsi"/>
      <w:sz w:val="20"/>
      <w:szCs w:val="20"/>
    </w:rPr>
  </w:style>
  <w:style w:type="paragraph" w:styleId="TOC4">
    <w:name w:val="toc 4"/>
    <w:basedOn w:val="Normal"/>
    <w:next w:val="Normal"/>
    <w:autoRedefine/>
    <w:uiPriority w:val="39"/>
    <w:semiHidden/>
    <w:unhideWhenUsed/>
    <w:rsid w:val="006C32A9"/>
    <w:pPr>
      <w:ind w:left="720"/>
    </w:pPr>
    <w:rPr>
      <w:rFonts w:cstheme="minorHAnsi"/>
      <w:sz w:val="20"/>
      <w:szCs w:val="20"/>
    </w:rPr>
  </w:style>
  <w:style w:type="paragraph" w:styleId="TOC5">
    <w:name w:val="toc 5"/>
    <w:basedOn w:val="Normal"/>
    <w:next w:val="Normal"/>
    <w:autoRedefine/>
    <w:uiPriority w:val="39"/>
    <w:semiHidden/>
    <w:unhideWhenUsed/>
    <w:rsid w:val="006C32A9"/>
    <w:pPr>
      <w:ind w:left="960"/>
    </w:pPr>
    <w:rPr>
      <w:rFonts w:cstheme="minorHAnsi"/>
      <w:sz w:val="20"/>
      <w:szCs w:val="20"/>
    </w:rPr>
  </w:style>
  <w:style w:type="paragraph" w:styleId="TOC6">
    <w:name w:val="toc 6"/>
    <w:basedOn w:val="Normal"/>
    <w:next w:val="Normal"/>
    <w:autoRedefine/>
    <w:uiPriority w:val="39"/>
    <w:semiHidden/>
    <w:unhideWhenUsed/>
    <w:rsid w:val="006C32A9"/>
    <w:pPr>
      <w:ind w:left="1200"/>
    </w:pPr>
    <w:rPr>
      <w:rFonts w:cstheme="minorHAnsi"/>
      <w:sz w:val="20"/>
      <w:szCs w:val="20"/>
    </w:rPr>
  </w:style>
  <w:style w:type="paragraph" w:styleId="TOC7">
    <w:name w:val="toc 7"/>
    <w:basedOn w:val="Normal"/>
    <w:next w:val="Normal"/>
    <w:autoRedefine/>
    <w:uiPriority w:val="39"/>
    <w:semiHidden/>
    <w:unhideWhenUsed/>
    <w:rsid w:val="006C32A9"/>
    <w:pPr>
      <w:ind w:left="1440"/>
    </w:pPr>
    <w:rPr>
      <w:rFonts w:cstheme="minorHAnsi"/>
      <w:sz w:val="20"/>
      <w:szCs w:val="20"/>
    </w:rPr>
  </w:style>
  <w:style w:type="paragraph" w:styleId="TOC8">
    <w:name w:val="toc 8"/>
    <w:basedOn w:val="Normal"/>
    <w:next w:val="Normal"/>
    <w:autoRedefine/>
    <w:uiPriority w:val="39"/>
    <w:semiHidden/>
    <w:unhideWhenUsed/>
    <w:rsid w:val="006C32A9"/>
    <w:pPr>
      <w:ind w:left="1680"/>
    </w:pPr>
    <w:rPr>
      <w:rFonts w:cstheme="minorHAnsi"/>
      <w:sz w:val="20"/>
      <w:szCs w:val="20"/>
    </w:rPr>
  </w:style>
  <w:style w:type="paragraph" w:styleId="TOC9">
    <w:name w:val="toc 9"/>
    <w:basedOn w:val="Normal"/>
    <w:next w:val="Normal"/>
    <w:autoRedefine/>
    <w:uiPriority w:val="39"/>
    <w:semiHidden/>
    <w:unhideWhenUsed/>
    <w:rsid w:val="006C32A9"/>
    <w:pPr>
      <w:ind w:left="1920"/>
    </w:pPr>
    <w:rPr>
      <w:rFonts w:cstheme="minorHAnsi"/>
      <w:sz w:val="20"/>
      <w:szCs w:val="20"/>
    </w:rPr>
  </w:style>
  <w:style w:type="character" w:customStyle="1" w:styleId="UnresolvedMention1">
    <w:name w:val="Unresolved Mention1"/>
    <w:basedOn w:val="DefaultParagraphFont"/>
    <w:uiPriority w:val="99"/>
    <w:semiHidden/>
    <w:unhideWhenUsed/>
    <w:rsid w:val="003A2BE4"/>
    <w:rPr>
      <w:color w:val="605E5C"/>
      <w:shd w:val="clear" w:color="auto" w:fill="E1DFDD"/>
    </w:rPr>
  </w:style>
  <w:style w:type="character" w:customStyle="1" w:styleId="Heading3Char">
    <w:name w:val="Heading 3 Char"/>
    <w:basedOn w:val="DefaultParagraphFont"/>
    <w:link w:val="Heading3"/>
    <w:uiPriority w:val="9"/>
    <w:rsid w:val="005115C0"/>
    <w:rPr>
      <w:rFonts w:asciiTheme="majorHAnsi" w:eastAsiaTheme="majorEastAsia" w:hAnsiTheme="majorHAnsi" w:cstheme="majorBidi"/>
      <w:color w:val="1F3763" w:themeColor="accent1" w:themeShade="7F"/>
    </w:rPr>
  </w:style>
  <w:style w:type="character" w:styleId="Strong">
    <w:name w:val="Strong"/>
    <w:basedOn w:val="DefaultParagraphFont"/>
    <w:uiPriority w:val="22"/>
    <w:qFormat/>
    <w:rsid w:val="004933ED"/>
    <w:rPr>
      <w:b/>
      <w:bCs/>
    </w:rPr>
  </w:style>
  <w:style w:type="character" w:styleId="Emphasis">
    <w:name w:val="Emphasis"/>
    <w:basedOn w:val="DefaultParagraphFont"/>
    <w:uiPriority w:val="20"/>
    <w:qFormat/>
    <w:rsid w:val="004933ED"/>
    <w:rPr>
      <w:i/>
      <w:iCs/>
    </w:rPr>
  </w:style>
  <w:style w:type="paragraph" w:customStyle="1" w:styleId="Default">
    <w:name w:val="Default"/>
    <w:rsid w:val="008C20FC"/>
    <w:pPr>
      <w:autoSpaceDE w:val="0"/>
      <w:autoSpaceDN w:val="0"/>
      <w:adjustRightInd w:val="0"/>
    </w:pPr>
    <w:rPr>
      <w:rFonts w:ascii="Arial" w:hAnsi="Arial" w:cs="Arial"/>
      <w:color w:val="000000"/>
      <w:lang w:eastAsia="ja-JP" w:bidi="ks-Deva"/>
    </w:rPr>
  </w:style>
  <w:style w:type="table" w:customStyle="1" w:styleId="LightList-Accent11">
    <w:name w:val="Light List - Accent 11"/>
    <w:basedOn w:val="TableNormal"/>
    <w:uiPriority w:val="61"/>
    <w:rsid w:val="008C20FC"/>
    <w:rPr>
      <w:rFonts w:eastAsia="MS Mincho"/>
      <w:sz w:val="22"/>
      <w:szCs w:val="22"/>
      <w:lang w:eastAsia="ja-JP"/>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csgPartIIIHeading2">
    <w:name w:val="csg Part III Heading 2"/>
    <w:basedOn w:val="Heading1"/>
    <w:uiPriority w:val="99"/>
    <w:qFormat/>
    <w:rsid w:val="000A296D"/>
    <w:pPr>
      <w:numPr>
        <w:numId w:val="1"/>
      </w:numPr>
      <w:spacing w:before="480" w:line="276" w:lineRule="auto"/>
    </w:pPr>
    <w:rPr>
      <w:rFonts w:ascii="Helvetica" w:eastAsia="Times New Roman" w:hAnsi="Helvetica" w:cs="Arial"/>
      <w:b/>
      <w:bCs/>
      <w:color w:val="005ABB"/>
      <w:szCs w:val="28"/>
      <w:lang w:eastAsia="ja-JP"/>
    </w:rPr>
  </w:style>
  <w:style w:type="paragraph" w:customStyle="1" w:styleId="MarginText">
    <w:name w:val="Margin Text"/>
    <w:basedOn w:val="Normal"/>
    <w:link w:val="MarginTextChar"/>
    <w:rsid w:val="00F81419"/>
    <w:pPr>
      <w:adjustRightInd w:val="0"/>
      <w:spacing w:after="240"/>
      <w:jc w:val="both"/>
    </w:pPr>
    <w:rPr>
      <w:rFonts w:ascii="Arial" w:eastAsia="STZhongsong" w:hAnsi="Arial"/>
      <w:sz w:val="22"/>
      <w:szCs w:val="20"/>
      <w:lang w:eastAsia="zh-CN"/>
    </w:rPr>
  </w:style>
  <w:style w:type="character" w:customStyle="1" w:styleId="MarginTextChar">
    <w:name w:val="Margin Text Char"/>
    <w:link w:val="MarginText"/>
    <w:rsid w:val="00F81419"/>
    <w:rPr>
      <w:rFonts w:ascii="Arial" w:eastAsia="STZhongsong" w:hAnsi="Arial" w:cs="Times New Roman"/>
      <w:sz w:val="22"/>
      <w:szCs w:val="20"/>
      <w:lang w:eastAsia="zh-CN"/>
    </w:rPr>
  </w:style>
  <w:style w:type="paragraph" w:customStyle="1" w:styleId="gem-c-lead-paragraph">
    <w:name w:val="gem-c-lead-paragraph"/>
    <w:basedOn w:val="Normal"/>
    <w:rsid w:val="00DD2625"/>
    <w:pPr>
      <w:spacing w:before="100" w:beforeAutospacing="1" w:after="100" w:afterAutospacing="1"/>
    </w:pPr>
  </w:style>
  <w:style w:type="paragraph" w:customStyle="1" w:styleId="FFWLevel1">
    <w:name w:val="FFW Level 1"/>
    <w:basedOn w:val="Normal"/>
    <w:next w:val="FFWLevel2"/>
    <w:locked/>
    <w:rsid w:val="00EF7D67"/>
    <w:pPr>
      <w:keepNext/>
      <w:spacing w:before="240" w:line="260" w:lineRule="atLeast"/>
      <w:jc w:val="both"/>
    </w:pPr>
    <w:rPr>
      <w:rFonts w:ascii="Arial" w:hAnsi="Arial" w:cs="Arial"/>
      <w:b/>
      <w:sz w:val="20"/>
      <w:lang w:eastAsia="fr-FR"/>
    </w:rPr>
  </w:style>
  <w:style w:type="paragraph" w:customStyle="1" w:styleId="FFWLevel2">
    <w:name w:val="FFW Level 2"/>
    <w:basedOn w:val="Normal"/>
    <w:locked/>
    <w:rsid w:val="00EF7D67"/>
    <w:pPr>
      <w:spacing w:before="240" w:line="260" w:lineRule="atLeast"/>
      <w:jc w:val="both"/>
    </w:pPr>
    <w:rPr>
      <w:rFonts w:ascii="Arial" w:hAnsi="Arial" w:cs="Arial"/>
      <w:sz w:val="20"/>
      <w:lang w:eastAsia="fr-FR"/>
    </w:rPr>
  </w:style>
  <w:style w:type="paragraph" w:customStyle="1" w:styleId="FFWLevel4">
    <w:name w:val="FFW Level 4"/>
    <w:basedOn w:val="Normal"/>
    <w:link w:val="FFWLevel4Char"/>
    <w:locked/>
    <w:rsid w:val="00EF7D67"/>
    <w:pPr>
      <w:spacing w:before="240" w:line="260" w:lineRule="atLeast"/>
      <w:jc w:val="both"/>
    </w:pPr>
    <w:rPr>
      <w:rFonts w:ascii="Arial" w:hAnsi="Arial" w:cs="Arial"/>
      <w:sz w:val="20"/>
      <w:lang w:eastAsia="fr-FR"/>
    </w:rPr>
  </w:style>
  <w:style w:type="paragraph" w:customStyle="1" w:styleId="FFWLevel5">
    <w:name w:val="FFW Level 5"/>
    <w:basedOn w:val="Normal"/>
    <w:locked/>
    <w:rsid w:val="00EF7D67"/>
    <w:pPr>
      <w:spacing w:before="240" w:line="260" w:lineRule="atLeast"/>
      <w:jc w:val="both"/>
    </w:pPr>
    <w:rPr>
      <w:rFonts w:ascii="Arial" w:hAnsi="Arial" w:cs="Arial"/>
      <w:sz w:val="20"/>
      <w:lang w:eastAsia="fr-FR"/>
    </w:rPr>
  </w:style>
  <w:style w:type="paragraph" w:customStyle="1" w:styleId="FFWLevel6">
    <w:name w:val="FFW Level 6"/>
    <w:basedOn w:val="Normal"/>
    <w:locked/>
    <w:rsid w:val="00EF7D67"/>
    <w:pPr>
      <w:spacing w:before="240" w:line="260" w:lineRule="atLeast"/>
      <w:jc w:val="both"/>
    </w:pPr>
    <w:rPr>
      <w:rFonts w:ascii="Arial" w:hAnsi="Arial" w:cs="Arial"/>
      <w:sz w:val="20"/>
      <w:lang w:eastAsia="fr-FR"/>
    </w:rPr>
  </w:style>
  <w:style w:type="character" w:customStyle="1" w:styleId="sr-only">
    <w:name w:val="sr-only"/>
    <w:basedOn w:val="DefaultParagraphFont"/>
    <w:rsid w:val="00683CD4"/>
  </w:style>
  <w:style w:type="paragraph" w:customStyle="1" w:styleId="dropdown">
    <w:name w:val="dropdown"/>
    <w:basedOn w:val="Normal"/>
    <w:rsid w:val="00683CD4"/>
    <w:pPr>
      <w:spacing w:before="100" w:beforeAutospacing="1" w:after="100" w:afterAutospacing="1"/>
    </w:pPr>
  </w:style>
  <w:style w:type="paragraph" w:customStyle="1" w:styleId="mobile-link">
    <w:name w:val="mobile-link"/>
    <w:basedOn w:val="Normal"/>
    <w:rsid w:val="00683CD4"/>
    <w:pPr>
      <w:spacing w:before="100" w:beforeAutospacing="1" w:after="100" w:afterAutospacing="1"/>
    </w:pPr>
  </w:style>
  <w:style w:type="paragraph" w:customStyle="1" w:styleId="animate-in">
    <w:name w:val="animate-in"/>
    <w:basedOn w:val="Normal"/>
    <w:rsid w:val="00683CD4"/>
    <w:pPr>
      <w:spacing w:before="100" w:beforeAutospacing="1" w:after="100" w:afterAutospacing="1"/>
    </w:pPr>
  </w:style>
  <w:style w:type="character" w:customStyle="1" w:styleId="cmsbreadcrumbscurrentitem">
    <w:name w:val="cmsbreadcrumbscurrentitem"/>
    <w:basedOn w:val="DefaultParagraphFont"/>
    <w:rsid w:val="00683CD4"/>
  </w:style>
  <w:style w:type="paragraph" w:customStyle="1" w:styleId="copy">
    <w:name w:val="copy"/>
    <w:basedOn w:val="Normal"/>
    <w:rsid w:val="00FE5349"/>
    <w:pPr>
      <w:spacing w:before="100" w:beforeAutospacing="1" w:after="100" w:afterAutospacing="1"/>
    </w:pPr>
  </w:style>
  <w:style w:type="table" w:customStyle="1" w:styleId="TableGrid1">
    <w:name w:val="Table Grid1"/>
    <w:basedOn w:val="TableNormal"/>
    <w:next w:val="TableGrid"/>
    <w:uiPriority w:val="39"/>
    <w:rsid w:val="00906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FWLevel3">
    <w:name w:val="FFW Level 3"/>
    <w:basedOn w:val="Normal"/>
    <w:locked/>
    <w:rsid w:val="00A8645A"/>
    <w:pPr>
      <w:tabs>
        <w:tab w:val="num" w:pos="794"/>
      </w:tabs>
      <w:spacing w:before="240" w:line="260" w:lineRule="atLeast"/>
      <w:ind w:left="794" w:hanging="794"/>
      <w:jc w:val="both"/>
    </w:pPr>
    <w:rPr>
      <w:rFonts w:ascii="Arial" w:hAnsi="Arial" w:cs="Arial"/>
      <w:sz w:val="20"/>
      <w:lang w:eastAsia="fr-FR"/>
    </w:rPr>
  </w:style>
  <w:style w:type="paragraph" w:customStyle="1" w:styleId="FFWBody2">
    <w:name w:val="FFW Body 2"/>
    <w:basedOn w:val="Normal"/>
    <w:locked/>
    <w:rsid w:val="00A8645A"/>
    <w:pPr>
      <w:spacing w:before="240" w:line="260" w:lineRule="atLeast"/>
      <w:ind w:left="794"/>
      <w:jc w:val="both"/>
    </w:pPr>
    <w:rPr>
      <w:rFonts w:ascii="Arial" w:hAnsi="Arial" w:cs="Arial"/>
      <w:sz w:val="20"/>
      <w:lang w:eastAsia="fr-FR"/>
    </w:rPr>
  </w:style>
  <w:style w:type="table" w:customStyle="1" w:styleId="GridTable1Light1">
    <w:name w:val="Grid Table 1 Light1"/>
    <w:basedOn w:val="TableNormal"/>
    <w:uiPriority w:val="46"/>
    <w:rsid w:val="00A8645A"/>
    <w:rPr>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FWLevel4Char">
    <w:name w:val="FFW Level 4 Char"/>
    <w:link w:val="FFWLevel4"/>
    <w:locked/>
    <w:rsid w:val="0066553D"/>
    <w:rPr>
      <w:rFonts w:ascii="Arial" w:eastAsia="Times New Roman" w:hAnsi="Arial" w:cs="Arial"/>
      <w:sz w:val="20"/>
      <w:lang w:eastAsia="fr-FR"/>
    </w:rPr>
  </w:style>
  <w:style w:type="table" w:customStyle="1" w:styleId="GridTable6Colorful1">
    <w:name w:val="Grid Table 6 Colorful1"/>
    <w:basedOn w:val="TableNormal"/>
    <w:uiPriority w:val="51"/>
    <w:rsid w:val="004E72AA"/>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76">
    <w:name w:val="76"/>
    <w:basedOn w:val="TableNormal"/>
    <w:rPr>
      <w:color w:val="000000"/>
      <w:sz w:val="22"/>
      <w:szCs w:val="22"/>
    </w:rPr>
    <w:tblPr>
      <w:tblStyleRowBandSize w:val="1"/>
      <w:tblStyleColBandSize w:val="1"/>
    </w:tblPr>
  </w:style>
  <w:style w:type="table" w:customStyle="1" w:styleId="75">
    <w:name w:val="75"/>
    <w:basedOn w:val="TableNormal"/>
    <w:rPr>
      <w:color w:val="000000"/>
      <w:sz w:val="22"/>
      <w:szCs w:val="22"/>
    </w:rPr>
    <w:tblPr>
      <w:tblStyleRowBandSize w:val="1"/>
      <w:tblStyleColBandSize w:val="1"/>
    </w:tblPr>
  </w:style>
  <w:style w:type="table" w:customStyle="1" w:styleId="74">
    <w:name w:val="74"/>
    <w:basedOn w:val="TableNormal"/>
    <w:rPr>
      <w:color w:val="000000"/>
      <w:sz w:val="22"/>
      <w:szCs w:val="22"/>
    </w:rPr>
    <w:tblPr>
      <w:tblStyleRowBandSize w:val="1"/>
      <w:tblStyleColBandSize w:val="1"/>
    </w:tblPr>
  </w:style>
  <w:style w:type="table" w:customStyle="1" w:styleId="73">
    <w:name w:val="73"/>
    <w:basedOn w:val="TableNormal"/>
    <w:rPr>
      <w:color w:val="000000"/>
      <w:sz w:val="22"/>
      <w:szCs w:val="22"/>
    </w:rPr>
    <w:tblPr>
      <w:tblStyleRowBandSize w:val="1"/>
      <w:tblStyleColBandSize w:val="1"/>
    </w:tblPr>
  </w:style>
  <w:style w:type="table" w:customStyle="1" w:styleId="72">
    <w:name w:val="72"/>
    <w:basedOn w:val="TableNormal"/>
    <w:rPr>
      <w:color w:val="000000"/>
      <w:sz w:val="22"/>
      <w:szCs w:val="22"/>
    </w:rPr>
    <w:tblPr>
      <w:tblStyleRowBandSize w:val="1"/>
      <w:tblStyleColBandSize w:val="1"/>
    </w:tblPr>
  </w:style>
  <w:style w:type="table" w:customStyle="1" w:styleId="71">
    <w:name w:val="71"/>
    <w:basedOn w:val="TableNormal"/>
    <w:rPr>
      <w:color w:val="000000"/>
      <w:sz w:val="22"/>
      <w:szCs w:val="22"/>
    </w:rPr>
    <w:tblPr>
      <w:tblStyleRowBandSize w:val="1"/>
      <w:tblStyleColBandSize w:val="1"/>
    </w:tblPr>
  </w:style>
  <w:style w:type="table" w:customStyle="1" w:styleId="70">
    <w:name w:val="70"/>
    <w:basedOn w:val="TableNormal"/>
    <w:rPr>
      <w:color w:val="000000"/>
      <w:sz w:val="22"/>
      <w:szCs w:val="22"/>
    </w:rPr>
    <w:tblPr>
      <w:tblStyleRowBandSize w:val="1"/>
      <w:tblStyleColBandSize w:val="1"/>
    </w:tblPr>
  </w:style>
  <w:style w:type="table" w:customStyle="1" w:styleId="69">
    <w:name w:val="69"/>
    <w:basedOn w:val="TableNormal"/>
    <w:rPr>
      <w:color w:val="000000"/>
      <w:sz w:val="22"/>
      <w:szCs w:val="22"/>
    </w:rPr>
    <w:tblPr>
      <w:tblStyleRowBandSize w:val="1"/>
      <w:tblStyleColBandSize w:val="1"/>
    </w:tblPr>
  </w:style>
  <w:style w:type="table" w:customStyle="1" w:styleId="68">
    <w:name w:val="68"/>
    <w:basedOn w:val="TableNormal"/>
    <w:rPr>
      <w:color w:val="000000"/>
      <w:sz w:val="22"/>
      <w:szCs w:val="22"/>
    </w:rPr>
    <w:tblPr>
      <w:tblStyleRowBandSize w:val="1"/>
      <w:tblStyleColBandSize w:val="1"/>
    </w:tblPr>
  </w:style>
  <w:style w:type="table" w:customStyle="1" w:styleId="67">
    <w:name w:val="67"/>
    <w:basedOn w:val="TableNormal"/>
    <w:rPr>
      <w:color w:val="000000"/>
      <w:sz w:val="22"/>
      <w:szCs w:val="22"/>
    </w:rPr>
    <w:tblPr>
      <w:tblStyleRowBandSize w:val="1"/>
      <w:tblStyleColBandSize w:val="1"/>
    </w:tblPr>
  </w:style>
  <w:style w:type="table" w:customStyle="1" w:styleId="66">
    <w:name w:val="66"/>
    <w:basedOn w:val="TableNormal"/>
    <w:rPr>
      <w:color w:val="000000"/>
      <w:sz w:val="22"/>
      <w:szCs w:val="22"/>
    </w:rPr>
    <w:tblPr>
      <w:tblStyleRowBandSize w:val="1"/>
      <w:tblStyleColBandSize w:val="1"/>
    </w:tblPr>
  </w:style>
  <w:style w:type="table" w:customStyle="1" w:styleId="65">
    <w:name w:val="65"/>
    <w:basedOn w:val="TableNormal"/>
    <w:rPr>
      <w:color w:val="000000"/>
      <w:sz w:val="22"/>
      <w:szCs w:val="22"/>
    </w:rPr>
    <w:tblPr>
      <w:tblStyleRowBandSize w:val="1"/>
      <w:tblStyleColBandSize w:val="1"/>
    </w:tblPr>
  </w:style>
  <w:style w:type="table" w:customStyle="1" w:styleId="64">
    <w:name w:val="64"/>
    <w:basedOn w:val="TableNormal"/>
    <w:rPr>
      <w:color w:val="000000"/>
      <w:sz w:val="22"/>
      <w:szCs w:val="22"/>
    </w:rPr>
    <w:tblPr>
      <w:tblStyleRowBandSize w:val="1"/>
      <w:tblStyleColBandSize w:val="1"/>
    </w:tblPr>
  </w:style>
  <w:style w:type="table" w:customStyle="1" w:styleId="63">
    <w:name w:val="63"/>
    <w:basedOn w:val="TableNormal"/>
    <w:rPr>
      <w:color w:val="000000"/>
      <w:sz w:val="22"/>
      <w:szCs w:val="22"/>
    </w:rPr>
    <w:tblPr>
      <w:tblStyleRowBandSize w:val="1"/>
      <w:tblStyleColBandSize w:val="1"/>
    </w:tblPr>
  </w:style>
  <w:style w:type="table" w:customStyle="1" w:styleId="62">
    <w:name w:val="62"/>
    <w:basedOn w:val="TableNormal"/>
    <w:rPr>
      <w:color w:val="000000"/>
      <w:sz w:val="22"/>
      <w:szCs w:val="22"/>
    </w:rPr>
    <w:tblPr>
      <w:tblStyleRowBandSize w:val="1"/>
      <w:tblStyleColBandSize w:val="1"/>
    </w:tblPr>
  </w:style>
  <w:style w:type="table" w:customStyle="1" w:styleId="61">
    <w:name w:val="61"/>
    <w:basedOn w:val="TableNormal"/>
    <w:rPr>
      <w:color w:val="000000"/>
      <w:sz w:val="22"/>
      <w:szCs w:val="22"/>
    </w:rPr>
    <w:tblPr>
      <w:tblStyleRowBandSize w:val="1"/>
      <w:tblStyleColBandSize w:val="1"/>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rPr>
      <w:color w:val="000000"/>
      <w:sz w:val="22"/>
      <w:szCs w:val="22"/>
    </w:rPr>
    <w:tblPr>
      <w:tblStyleRowBandSize w:val="1"/>
      <w:tblStyleColBandSize w:val="1"/>
    </w:tblPr>
  </w:style>
  <w:style w:type="table" w:customStyle="1" w:styleId="58">
    <w:name w:val="58"/>
    <w:basedOn w:val="TableNormal"/>
    <w:rPr>
      <w:color w:val="000000"/>
      <w:sz w:val="22"/>
      <w:szCs w:val="22"/>
    </w:rPr>
    <w:tblPr>
      <w:tblStyleRowBandSize w:val="1"/>
      <w:tblStyleColBandSize w:val="1"/>
    </w:tblPr>
  </w:style>
  <w:style w:type="table" w:customStyle="1" w:styleId="57">
    <w:name w:val="57"/>
    <w:basedOn w:val="TableNormal"/>
    <w:rPr>
      <w:color w:val="000000"/>
      <w:sz w:val="22"/>
      <w:szCs w:val="22"/>
    </w:rPr>
    <w:tblPr>
      <w:tblStyleRowBandSize w:val="1"/>
      <w:tblStyleColBandSize w:val="1"/>
    </w:tblPr>
  </w:style>
  <w:style w:type="table" w:customStyle="1" w:styleId="56">
    <w:name w:val="56"/>
    <w:basedOn w:val="TableNormal"/>
    <w:rPr>
      <w:color w:val="000000"/>
      <w:sz w:val="22"/>
      <w:szCs w:val="22"/>
    </w:rPr>
    <w:tblPr>
      <w:tblStyleRowBandSize w:val="1"/>
      <w:tblStyleColBandSize w:val="1"/>
    </w:tblPr>
  </w:style>
  <w:style w:type="table" w:customStyle="1" w:styleId="55">
    <w:name w:val="5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54">
    <w:name w:val="5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53">
    <w:name w:val="5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52">
    <w:name w:val="5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51">
    <w:name w:val="5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50">
    <w:name w:val="5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49">
    <w:name w:val="4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48">
    <w:name w:val="4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47">
    <w:name w:val="4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46">
    <w:name w:val="4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45">
    <w:name w:val="4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44">
    <w:name w:val="4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43">
    <w:name w:val="4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42">
    <w:name w:val="4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41">
    <w:name w:val="4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40">
    <w:name w:val="4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39">
    <w:name w:val="3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38">
    <w:name w:val="3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37">
    <w:name w:val="3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36">
    <w:name w:val="3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35">
    <w:name w:val="3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34">
    <w:name w:val="3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33">
    <w:name w:val="3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32">
    <w:name w:val="3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31">
    <w:name w:val="3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30">
    <w:name w:val="3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29">
    <w:name w:val="2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28">
    <w:name w:val="2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27">
    <w:name w:val="2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26">
    <w:name w:val="2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25">
    <w:name w:val="2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24">
    <w:name w:val="2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23">
    <w:name w:val="2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22">
    <w:name w:val="2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21">
    <w:name w:val="2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20">
    <w:name w:val="2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19">
    <w:name w:val="1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18">
    <w:name w:val="1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17">
    <w:name w:val="1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16">
    <w:name w:val="1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15">
    <w:name w:val="1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14">
    <w:name w:val="1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13">
    <w:name w:val="1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12">
    <w:name w:val="1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11">
    <w:name w:val="1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10">
    <w:name w:val="1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9">
    <w:name w:val="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8">
    <w:name w:val="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rPr>
      <w:color w:val="000000"/>
      <w:sz w:val="22"/>
      <w:szCs w:val="22"/>
    </w:rPr>
    <w:tblPr>
      <w:tblStyleRowBandSize w:val="1"/>
      <w:tblStyleColBandSize w:val="1"/>
    </w:tblPr>
  </w:style>
  <w:style w:type="table" w:customStyle="1" w:styleId="5">
    <w:name w:val="5"/>
    <w:basedOn w:val="TableNormal"/>
    <w:rPr>
      <w:color w:val="000000"/>
      <w:sz w:val="22"/>
      <w:szCs w:val="22"/>
    </w:rPr>
    <w:tblPr>
      <w:tblStyleRowBandSize w:val="1"/>
      <w:tblStyleColBandSize w:val="1"/>
    </w:tblPr>
  </w:style>
  <w:style w:type="table" w:customStyle="1" w:styleId="4">
    <w:name w:val="4"/>
    <w:basedOn w:val="TableNormal"/>
    <w:rPr>
      <w:color w:val="000000"/>
      <w:sz w:val="22"/>
      <w:szCs w:val="22"/>
    </w:rPr>
    <w:tblPr>
      <w:tblStyleRowBandSize w:val="1"/>
      <w:tblStyleColBandSize w:val="1"/>
    </w:tblPr>
  </w:style>
  <w:style w:type="table" w:customStyle="1" w:styleId="3">
    <w:name w:val="3"/>
    <w:basedOn w:val="TableNormal"/>
    <w:rPr>
      <w:color w:val="000000"/>
      <w:sz w:val="22"/>
      <w:szCs w:val="22"/>
    </w:rPr>
    <w:tblPr>
      <w:tblStyleRowBandSize w:val="1"/>
      <w:tblStyleColBandSize w:val="1"/>
    </w:tblPr>
  </w:style>
  <w:style w:type="table" w:customStyle="1" w:styleId="2">
    <w:name w:val="2"/>
    <w:basedOn w:val="TableNormal"/>
    <w:rPr>
      <w:color w:val="000000"/>
      <w:sz w:val="22"/>
      <w:szCs w:val="22"/>
    </w:rPr>
    <w:tblPr>
      <w:tblStyleRowBandSize w:val="1"/>
      <w:tblStyleColBandSize w:val="1"/>
    </w:tblPr>
  </w:style>
  <w:style w:type="table" w:customStyle="1" w:styleId="1">
    <w:name w:val="1"/>
    <w:basedOn w:val="TableNormal"/>
    <w:rPr>
      <w:color w:val="000000"/>
      <w:sz w:val="22"/>
      <w:szCs w:val="22"/>
    </w:rPr>
    <w:tblPr>
      <w:tblStyleRowBandSize w:val="1"/>
      <w:tblStyleColBandSize w:val="1"/>
    </w:tblPr>
  </w:style>
  <w:style w:type="paragraph" w:styleId="Revision">
    <w:name w:val="Revision"/>
    <w:hidden/>
    <w:uiPriority w:val="99"/>
    <w:semiHidden/>
    <w:rsid w:val="00CB77F4"/>
  </w:style>
  <w:style w:type="character" w:styleId="PageNumber">
    <w:name w:val="page number"/>
    <w:uiPriority w:val="99"/>
    <w:rsid w:val="00055214"/>
    <w:rPr>
      <w:rFonts w:ascii="Arial" w:hAnsi="Arial" w:cs="Times New Roman"/>
      <w:sz w:val="20"/>
    </w:rPr>
  </w:style>
  <w:style w:type="character" w:customStyle="1" w:styleId="ListParagraphChar">
    <w:name w:val="List Paragraph Char"/>
    <w:basedOn w:val="DefaultParagraphFont"/>
    <w:link w:val="ListParagraph"/>
    <w:uiPriority w:val="34"/>
    <w:rsid w:val="00176825"/>
  </w:style>
  <w:style w:type="paragraph" w:customStyle="1" w:styleId="GPSL1CLAUSEHEADING">
    <w:name w:val="GPS L1 CLAUSE HEADING"/>
    <w:basedOn w:val="Normal"/>
    <w:next w:val="Normal"/>
    <w:qFormat/>
    <w:rsid w:val="00F403E8"/>
    <w:pPr>
      <w:numPr>
        <w:numId w:val="31"/>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qFormat/>
    <w:rsid w:val="00F403E8"/>
    <w:pPr>
      <w:numPr>
        <w:ilvl w:val="1"/>
        <w:numId w:val="31"/>
      </w:numPr>
      <w:tabs>
        <w:tab w:val="left" w:pos="1134"/>
      </w:tabs>
      <w:adjustRightInd w:val="0"/>
      <w:spacing w:before="120" w:after="120"/>
      <w:ind w:left="1134" w:hanging="567"/>
      <w:jc w:val="both"/>
    </w:pPr>
    <w:rPr>
      <w:rFonts w:ascii="Calibri" w:hAnsi="Calibri" w:cs="Arial"/>
      <w:sz w:val="22"/>
      <w:szCs w:val="22"/>
      <w:lang w:eastAsia="zh-CN"/>
    </w:rPr>
  </w:style>
  <w:style w:type="paragraph" w:customStyle="1" w:styleId="GPSL3numberedclause">
    <w:name w:val="GPS L3 numbered clause"/>
    <w:basedOn w:val="GPSL2numberedclause"/>
    <w:link w:val="GPSL3numberedclauseChar"/>
    <w:qFormat/>
    <w:rsid w:val="00F403E8"/>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qFormat/>
    <w:rsid w:val="00F403E8"/>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rsid w:val="00F403E8"/>
    <w:pPr>
      <w:numPr>
        <w:ilvl w:val="4"/>
      </w:numPr>
      <w:tabs>
        <w:tab w:val="num" w:pos="360"/>
        <w:tab w:val="num" w:pos="2880"/>
        <w:tab w:val="left" w:pos="3402"/>
      </w:tabs>
      <w:ind w:left="3402" w:hanging="567"/>
    </w:pPr>
  </w:style>
  <w:style w:type="paragraph" w:customStyle="1" w:styleId="GPSL6numbered">
    <w:name w:val="GPS L6 numbered"/>
    <w:basedOn w:val="GPSL5numberedclause"/>
    <w:qFormat/>
    <w:rsid w:val="00F403E8"/>
    <w:pPr>
      <w:numPr>
        <w:ilvl w:val="5"/>
      </w:numPr>
      <w:tabs>
        <w:tab w:val="num" w:pos="360"/>
        <w:tab w:val="num" w:pos="2880"/>
        <w:tab w:val="left" w:pos="4253"/>
      </w:tabs>
      <w:ind w:left="4253" w:hanging="709"/>
    </w:pPr>
  </w:style>
  <w:style w:type="paragraph" w:customStyle="1" w:styleId="GPSL2Numbered">
    <w:name w:val="GPS L2 Numbered"/>
    <w:basedOn w:val="Normal"/>
    <w:link w:val="GPSL2NumberedChar"/>
    <w:qFormat/>
    <w:rsid w:val="00F403E8"/>
    <w:pPr>
      <w:tabs>
        <w:tab w:val="left" w:pos="709"/>
        <w:tab w:val="left" w:pos="1134"/>
      </w:tabs>
      <w:adjustRightInd w:val="0"/>
      <w:spacing w:before="120" w:after="120"/>
      <w:ind w:left="644" w:hanging="360"/>
      <w:jc w:val="both"/>
    </w:pPr>
    <w:rPr>
      <w:rFonts w:ascii="Calibri" w:hAnsi="Calibri" w:cs="Arial"/>
      <w:sz w:val="22"/>
      <w:szCs w:val="22"/>
      <w:lang w:eastAsia="zh-CN"/>
    </w:rPr>
  </w:style>
  <w:style w:type="character" w:customStyle="1" w:styleId="GPSL2NumberedChar">
    <w:name w:val="GPS L2 Numbered Char"/>
    <w:link w:val="GPSL2Numbered"/>
    <w:locked/>
    <w:rsid w:val="00F403E8"/>
    <w:rPr>
      <w:rFonts w:ascii="Calibri" w:hAnsi="Calibri" w:cs="Arial"/>
      <w:sz w:val="22"/>
      <w:szCs w:val="22"/>
      <w:lang w:eastAsia="zh-CN"/>
    </w:rPr>
  </w:style>
  <w:style w:type="character" w:customStyle="1" w:styleId="GPSL3numberedclauseChar">
    <w:name w:val="GPS L3 numbered clause Char"/>
    <w:link w:val="GPSL3numberedclause"/>
    <w:rsid w:val="00F403E8"/>
    <w:rPr>
      <w:rFonts w:ascii="Calibri" w:hAnsi="Calibri" w:cs="Arial"/>
      <w:sz w:val="22"/>
      <w:szCs w:val="22"/>
      <w:lang w:eastAsia="zh-CN"/>
    </w:rPr>
  </w:style>
  <w:style w:type="paragraph" w:customStyle="1" w:styleId="GPSL1SCHEDULEHeading">
    <w:name w:val="GPS L1 SCHEDULE Heading"/>
    <w:basedOn w:val="GPSL1CLAUSEHEADING"/>
    <w:link w:val="GPSL1SCHEDULEHeadingChar"/>
    <w:autoRedefine/>
    <w:rsid w:val="00F403E8"/>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F403E8"/>
    <w:rPr>
      <w:rFonts w:ascii="Arial" w:eastAsia="STZhongsong" w:hAnsi="Arial" w:cs="Arial"/>
      <w:b/>
      <w:szCs w:val="22"/>
      <w:lang w:eastAsia="zh-CN"/>
    </w:rPr>
  </w:style>
  <w:style w:type="table" w:customStyle="1" w:styleId="a">
    <w:basedOn w:val="TableNormal"/>
    <w:rPr>
      <w:color w:val="000000"/>
      <w:sz w:val="22"/>
      <w:szCs w:val="22"/>
    </w:rPr>
    <w:tblPr>
      <w:tblStyleRowBandSize w:val="1"/>
      <w:tblStyleColBandSize w:val="1"/>
      <w:tblCellMar>
        <w:left w:w="115" w:type="dxa"/>
        <w:right w:w="115" w:type="dxa"/>
      </w:tblCellMar>
    </w:tblPr>
  </w:style>
  <w:style w:type="table" w:customStyle="1" w:styleId="a0">
    <w:basedOn w:val="TableNormal"/>
    <w:rPr>
      <w:color w:val="000000"/>
      <w:sz w:val="22"/>
      <w:szCs w:val="22"/>
    </w:rPr>
    <w:tblPr>
      <w:tblStyleRowBandSize w:val="1"/>
      <w:tblStyleColBandSize w:val="1"/>
      <w:tblCellMar>
        <w:left w:w="115" w:type="dxa"/>
        <w:right w:w="115" w:type="dxa"/>
      </w:tblCellMar>
    </w:tblPr>
  </w:style>
  <w:style w:type="table" w:customStyle="1" w:styleId="a1">
    <w:basedOn w:val="TableNormal"/>
    <w:rPr>
      <w:color w:val="000000"/>
      <w:sz w:val="22"/>
      <w:szCs w:val="22"/>
    </w:rPr>
    <w:tblPr>
      <w:tblStyleRowBandSize w:val="1"/>
      <w:tblStyleColBandSize w:val="1"/>
      <w:tblCellMar>
        <w:left w:w="115" w:type="dxa"/>
        <w:right w:w="115" w:type="dxa"/>
      </w:tblCellMar>
    </w:tblPr>
  </w:style>
  <w:style w:type="table" w:customStyle="1" w:styleId="a2">
    <w:basedOn w:val="TableNormal"/>
    <w:rPr>
      <w:color w:val="000000"/>
      <w:sz w:val="22"/>
      <w:szCs w:val="22"/>
    </w:rPr>
    <w:tblPr>
      <w:tblStyleRowBandSize w:val="1"/>
      <w:tblStyleColBandSize w:val="1"/>
      <w:tblCellMar>
        <w:left w:w="115" w:type="dxa"/>
        <w:right w:w="115" w:type="dxa"/>
      </w:tblCellMar>
    </w:tblPr>
  </w:style>
  <w:style w:type="table" w:customStyle="1" w:styleId="a3">
    <w:basedOn w:val="TableNormal"/>
    <w:rPr>
      <w:color w:val="000000"/>
      <w:sz w:val="22"/>
      <w:szCs w:val="22"/>
    </w:rPr>
    <w:tblPr>
      <w:tblStyleRowBandSize w:val="1"/>
      <w:tblStyleColBandSize w:val="1"/>
      <w:tblCellMar>
        <w:left w:w="115" w:type="dxa"/>
        <w:right w:w="115" w:type="dxa"/>
      </w:tblCellMar>
    </w:tblPr>
  </w:style>
  <w:style w:type="table" w:customStyle="1" w:styleId="a4">
    <w:basedOn w:val="TableNormal"/>
    <w:rPr>
      <w:color w:val="000000"/>
      <w:sz w:val="22"/>
      <w:szCs w:val="22"/>
    </w:rPr>
    <w:tblPr>
      <w:tblStyleRowBandSize w:val="1"/>
      <w:tblStyleColBandSize w:val="1"/>
      <w:tblCellMar>
        <w:left w:w="115" w:type="dxa"/>
        <w:right w:w="115" w:type="dxa"/>
      </w:tblCellMar>
    </w:tblPr>
  </w:style>
  <w:style w:type="table" w:customStyle="1" w:styleId="a5">
    <w:basedOn w:val="TableNormal"/>
    <w:rPr>
      <w:color w:val="000000"/>
      <w:sz w:val="22"/>
      <w:szCs w:val="22"/>
    </w:rPr>
    <w:tblPr>
      <w:tblStyleRowBandSize w:val="1"/>
      <w:tblStyleColBandSize w:val="1"/>
      <w:tblCellMar>
        <w:left w:w="115" w:type="dxa"/>
        <w:right w:w="115" w:type="dxa"/>
      </w:tblCellMar>
    </w:tblPr>
  </w:style>
  <w:style w:type="table" w:customStyle="1" w:styleId="a6">
    <w:basedOn w:val="TableNormal"/>
    <w:rPr>
      <w:color w:val="000000"/>
      <w:sz w:val="22"/>
      <w:szCs w:val="22"/>
    </w:rPr>
    <w:tblPr>
      <w:tblStyleRowBandSize w:val="1"/>
      <w:tblStyleColBandSize w:val="1"/>
      <w:tblCellMar>
        <w:left w:w="115" w:type="dxa"/>
        <w:right w:w="115" w:type="dxa"/>
      </w:tblCellMar>
    </w:tblPr>
  </w:style>
  <w:style w:type="table" w:customStyle="1" w:styleId="a7">
    <w:basedOn w:val="TableNormal"/>
    <w:rPr>
      <w:color w:val="000000"/>
      <w:sz w:val="22"/>
      <w:szCs w:val="22"/>
    </w:rPr>
    <w:tblPr>
      <w:tblStyleRowBandSize w:val="1"/>
      <w:tblStyleColBandSize w:val="1"/>
      <w:tblCellMar>
        <w:left w:w="115" w:type="dxa"/>
        <w:right w:w="115" w:type="dxa"/>
      </w:tblCellMar>
    </w:tblPr>
  </w:style>
  <w:style w:type="table" w:customStyle="1" w:styleId="a8">
    <w:basedOn w:val="TableNormal"/>
    <w:rPr>
      <w:color w:val="000000"/>
      <w:sz w:val="22"/>
      <w:szCs w:val="22"/>
    </w:rPr>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rPr>
      <w:color w:val="000000"/>
      <w:sz w:val="22"/>
      <w:szCs w:val="22"/>
    </w:r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rPr>
      <w:color w:val="000000"/>
      <w:sz w:val="22"/>
      <w:szCs w:val="22"/>
    </w:rPr>
    <w:tblPr>
      <w:tblStyleRowBandSize w:val="1"/>
      <w:tblStyleColBandSize w:val="1"/>
      <w:tblCellMar>
        <w:left w:w="115" w:type="dxa"/>
        <w:right w:w="115" w:type="dxa"/>
      </w:tblCellMar>
    </w:tblPr>
  </w:style>
  <w:style w:type="table" w:customStyle="1" w:styleId="af">
    <w:basedOn w:val="TableNormal"/>
    <w:rPr>
      <w:color w:val="000000"/>
      <w:sz w:val="22"/>
      <w:szCs w:val="22"/>
    </w:rPr>
    <w:tblPr>
      <w:tblStyleRowBandSize w:val="1"/>
      <w:tblStyleColBandSize w:val="1"/>
      <w:tblCellMar>
        <w:left w:w="115" w:type="dxa"/>
        <w:right w:w="115" w:type="dxa"/>
      </w:tblCellMar>
    </w:tblPr>
  </w:style>
  <w:style w:type="table" w:customStyle="1" w:styleId="af0">
    <w:basedOn w:val="TableNormal"/>
    <w:rPr>
      <w:color w:val="000000"/>
      <w:sz w:val="22"/>
      <w:szCs w:val="22"/>
    </w:rPr>
    <w:tblPr>
      <w:tblStyleRowBandSize w:val="1"/>
      <w:tblStyleColBandSize w:val="1"/>
      <w:tblCellMar>
        <w:left w:w="115" w:type="dxa"/>
        <w:right w:w="115" w:type="dxa"/>
      </w:tblCellMar>
    </w:tblPr>
  </w:style>
  <w:style w:type="table" w:customStyle="1" w:styleId="af1">
    <w:basedOn w:val="TableNormal"/>
    <w:rPr>
      <w:color w:val="000000"/>
      <w:sz w:val="22"/>
      <w:szCs w:val="22"/>
    </w:rPr>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rPr>
      <w:color w:val="000000"/>
      <w:sz w:val="22"/>
      <w:szCs w:val="22"/>
    </w:rPr>
    <w:tblPr>
      <w:tblStyleRowBandSize w:val="1"/>
      <w:tblStyleColBandSize w:val="1"/>
      <w:tblCellMar>
        <w:left w:w="115" w:type="dxa"/>
        <w:right w:w="115" w:type="dxa"/>
      </w:tblCellMar>
    </w:tblPr>
  </w:style>
  <w:style w:type="table" w:customStyle="1" w:styleId="af4">
    <w:basedOn w:val="TableNormal"/>
    <w:rPr>
      <w:color w:val="000000"/>
      <w:sz w:val="22"/>
      <w:szCs w:val="22"/>
    </w:rPr>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rPr>
      <w:color w:val="000000"/>
      <w:sz w:val="22"/>
      <w:szCs w:val="22"/>
    </w:r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rPr>
      <w:color w:val="000000"/>
      <w:sz w:val="22"/>
      <w:szCs w:val="22"/>
    </w:rPr>
    <w:tblPr>
      <w:tblStyleRowBandSize w:val="1"/>
      <w:tblStyleColBandSize w:val="1"/>
      <w:tblCellMar>
        <w:left w:w="115" w:type="dxa"/>
        <w:right w:w="115" w:type="dxa"/>
      </w:tblCellMar>
    </w:tblPr>
  </w:style>
  <w:style w:type="table" w:customStyle="1" w:styleId="af9">
    <w:basedOn w:val="TableNormal"/>
    <w:rPr>
      <w:color w:val="000000"/>
      <w:sz w:val="22"/>
      <w:szCs w:val="22"/>
    </w:rPr>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rPr>
      <w:color w:val="000000"/>
      <w:sz w:val="22"/>
      <w:szCs w:val="22"/>
    </w:rPr>
    <w:tblPr>
      <w:tblStyleRowBandSize w:val="1"/>
      <w:tblStyleColBandSize w:val="1"/>
      <w:tblCellMar>
        <w:left w:w="115" w:type="dxa"/>
        <w:right w:w="115" w:type="dxa"/>
      </w:tblCellMar>
    </w:tblPr>
  </w:style>
  <w:style w:type="table" w:customStyle="1" w:styleId="afc">
    <w:basedOn w:val="TableNormal"/>
    <w:rPr>
      <w:color w:val="000000"/>
      <w:sz w:val="22"/>
      <w:szCs w:val="22"/>
    </w:rPr>
    <w:tblPr>
      <w:tblStyleRowBandSize w:val="1"/>
      <w:tblStyleColBandSize w:val="1"/>
      <w:tblCellMar>
        <w:left w:w="115" w:type="dxa"/>
        <w:right w:w="115" w:type="dxa"/>
      </w:tblCellMar>
    </w:tblPr>
  </w:style>
  <w:style w:type="table" w:customStyle="1" w:styleId="afd">
    <w:basedOn w:val="TableNormal"/>
    <w:rPr>
      <w:color w:val="000000"/>
      <w:sz w:val="22"/>
      <w:szCs w:val="22"/>
    </w:rPr>
    <w:tblPr>
      <w:tblStyleRowBandSize w:val="1"/>
      <w:tblStyleColBandSize w:val="1"/>
      <w:tblCellMar>
        <w:left w:w="115" w:type="dxa"/>
        <w:right w:w="115" w:type="dxa"/>
      </w:tblCellMar>
    </w:tblPr>
  </w:style>
  <w:style w:type="table" w:customStyle="1" w:styleId="afe">
    <w:basedOn w:val="TableNormal"/>
    <w:rPr>
      <w:color w:val="000000"/>
      <w:sz w:val="22"/>
      <w:szCs w:val="22"/>
    </w:rPr>
    <w:tblPr>
      <w:tblStyleRowBandSize w:val="1"/>
      <w:tblStyleColBandSize w:val="1"/>
      <w:tblCellMar>
        <w:left w:w="115" w:type="dxa"/>
        <w:right w:w="115" w:type="dxa"/>
      </w:tblCellMar>
    </w:tblPr>
  </w:style>
  <w:style w:type="table" w:customStyle="1" w:styleId="aff">
    <w:basedOn w:val="TableNormal"/>
    <w:rPr>
      <w:color w:val="000000"/>
      <w:sz w:val="22"/>
      <w:szCs w:val="22"/>
    </w:rPr>
    <w:tblPr>
      <w:tblStyleRowBandSize w:val="1"/>
      <w:tblStyleColBandSize w:val="1"/>
      <w:tblCellMar>
        <w:left w:w="115" w:type="dxa"/>
        <w:right w:w="115" w:type="dxa"/>
      </w:tblCellMar>
    </w:tblPr>
  </w:style>
  <w:style w:type="table" w:customStyle="1" w:styleId="aff0">
    <w:basedOn w:val="TableNormal"/>
    <w:rPr>
      <w:color w:val="000000"/>
      <w:sz w:val="22"/>
      <w:szCs w:val="22"/>
    </w:rPr>
    <w:tblPr>
      <w:tblStyleRowBandSize w:val="1"/>
      <w:tblStyleColBandSize w:val="1"/>
      <w:tblCellMar>
        <w:left w:w="115" w:type="dxa"/>
        <w:right w:w="115" w:type="dxa"/>
      </w:tblCellMar>
    </w:tblPr>
  </w:style>
  <w:style w:type="table" w:customStyle="1" w:styleId="aff1">
    <w:basedOn w:val="TableNormal"/>
    <w:rPr>
      <w:color w:val="000000"/>
      <w:sz w:val="22"/>
      <w:szCs w:val="22"/>
    </w:rPr>
    <w:tblPr>
      <w:tblStyleRowBandSize w:val="1"/>
      <w:tblStyleColBandSize w:val="1"/>
      <w:tblCellMar>
        <w:left w:w="115" w:type="dxa"/>
        <w:right w:w="115" w:type="dxa"/>
      </w:tblCellMar>
    </w:tblPr>
  </w:style>
  <w:style w:type="table" w:customStyle="1" w:styleId="aff2">
    <w:basedOn w:val="TableNormal"/>
    <w:rPr>
      <w:color w:val="000000"/>
      <w:sz w:val="22"/>
      <w:szCs w:val="22"/>
    </w:rPr>
    <w:tblPr>
      <w:tblStyleRowBandSize w:val="1"/>
      <w:tblStyleColBandSize w:val="1"/>
      <w:tblCellMar>
        <w:left w:w="115" w:type="dxa"/>
        <w:right w:w="115" w:type="dxa"/>
      </w:tblCellMar>
    </w:tblPr>
  </w:style>
  <w:style w:type="table" w:customStyle="1" w:styleId="aff3">
    <w:basedOn w:val="TableNormal"/>
    <w:rPr>
      <w:color w:val="000000"/>
      <w:sz w:val="22"/>
      <w:szCs w:val="22"/>
    </w:rPr>
    <w:tblPr>
      <w:tblStyleRowBandSize w:val="1"/>
      <w:tblStyleColBandSize w:val="1"/>
      <w:tblCellMar>
        <w:left w:w="115" w:type="dxa"/>
        <w:right w:w="115" w:type="dxa"/>
      </w:tblCellMar>
    </w:tblPr>
  </w:style>
  <w:style w:type="table" w:customStyle="1" w:styleId="aff4">
    <w:basedOn w:val="TableNormal"/>
    <w:rPr>
      <w:color w:val="000000"/>
      <w:sz w:val="22"/>
      <w:szCs w:val="22"/>
    </w:rPr>
    <w:tblPr>
      <w:tblStyleRowBandSize w:val="1"/>
      <w:tblStyleColBandSize w:val="1"/>
      <w:tblCellMar>
        <w:left w:w="115" w:type="dxa"/>
        <w:right w:w="115" w:type="dxa"/>
      </w:tblCellMar>
    </w:tblPr>
  </w:style>
  <w:style w:type="table" w:customStyle="1" w:styleId="aff5">
    <w:basedOn w:val="TableNormal"/>
    <w:rPr>
      <w:color w:val="000000"/>
      <w:sz w:val="22"/>
      <w:szCs w:val="22"/>
    </w:rPr>
    <w:tblPr>
      <w:tblStyleRowBandSize w:val="1"/>
      <w:tblStyleColBandSize w:val="1"/>
      <w:tblCellMar>
        <w:left w:w="115" w:type="dxa"/>
        <w:right w:w="115" w:type="dxa"/>
      </w:tblCellMar>
    </w:tblPr>
  </w:style>
  <w:style w:type="table" w:customStyle="1" w:styleId="aff6">
    <w:basedOn w:val="TableNormal"/>
    <w:rPr>
      <w:color w:val="000000"/>
      <w:sz w:val="22"/>
      <w:szCs w:val="22"/>
    </w:rPr>
    <w:tblPr>
      <w:tblStyleRowBandSize w:val="1"/>
      <w:tblStyleColBandSize w:val="1"/>
      <w:tblCellMar>
        <w:left w:w="115" w:type="dxa"/>
        <w:right w:w="115" w:type="dxa"/>
      </w:tblCellMar>
    </w:tblPr>
  </w:style>
  <w:style w:type="table" w:customStyle="1" w:styleId="aff7">
    <w:basedOn w:val="TableNormal"/>
    <w:rPr>
      <w:color w:val="000000"/>
      <w:sz w:val="22"/>
      <w:szCs w:val="22"/>
    </w:rPr>
    <w:tblPr>
      <w:tblStyleRowBandSize w:val="1"/>
      <w:tblStyleColBandSize w:val="1"/>
      <w:tblCellMar>
        <w:left w:w="115" w:type="dxa"/>
        <w:right w:w="115" w:type="dxa"/>
      </w:tblCellMar>
    </w:tblPr>
  </w:style>
  <w:style w:type="table" w:customStyle="1" w:styleId="aff8">
    <w:basedOn w:val="TableNormal"/>
    <w:rPr>
      <w:color w:val="000000"/>
      <w:sz w:val="22"/>
      <w:szCs w:val="22"/>
    </w:rPr>
    <w:tblPr>
      <w:tblStyleRowBandSize w:val="1"/>
      <w:tblStyleColBandSize w:val="1"/>
      <w:tblCellMar>
        <w:left w:w="115" w:type="dxa"/>
        <w:right w:w="115" w:type="dxa"/>
      </w:tblCellMar>
    </w:tblPr>
  </w:style>
  <w:style w:type="table" w:customStyle="1" w:styleId="aff9">
    <w:basedOn w:val="TableNormal"/>
    <w:rPr>
      <w:color w:val="000000"/>
      <w:sz w:val="22"/>
      <w:szCs w:val="22"/>
    </w:rPr>
    <w:tblPr>
      <w:tblStyleRowBandSize w:val="1"/>
      <w:tblStyleColBandSize w:val="1"/>
      <w:tblCellMar>
        <w:left w:w="115" w:type="dxa"/>
        <w:right w:w="115" w:type="dxa"/>
      </w:tblCellMar>
    </w:tblPr>
  </w:style>
  <w:style w:type="table" w:customStyle="1" w:styleId="affa">
    <w:basedOn w:val="TableNormal"/>
    <w:rPr>
      <w:color w:val="000000"/>
      <w:sz w:val="22"/>
      <w:szCs w:val="22"/>
    </w:rPr>
    <w:tblPr>
      <w:tblStyleRowBandSize w:val="1"/>
      <w:tblStyleColBandSize w:val="1"/>
      <w:tblCellMar>
        <w:left w:w="115" w:type="dxa"/>
        <w:right w:w="115" w:type="dxa"/>
      </w:tblCellMar>
    </w:tblPr>
  </w:style>
  <w:style w:type="table" w:customStyle="1" w:styleId="affb">
    <w:basedOn w:val="TableNormal"/>
    <w:rPr>
      <w:color w:val="000000"/>
      <w:sz w:val="22"/>
      <w:szCs w:val="22"/>
    </w:rPr>
    <w:tblPr>
      <w:tblStyleRowBandSize w:val="1"/>
      <w:tblStyleColBandSize w:val="1"/>
      <w:tblCellMar>
        <w:left w:w="115" w:type="dxa"/>
        <w:right w:w="115" w:type="dxa"/>
      </w:tblCellMar>
    </w:tblPr>
  </w:style>
  <w:style w:type="table" w:customStyle="1" w:styleId="affc">
    <w:basedOn w:val="TableNormal"/>
    <w:rPr>
      <w:color w:val="000000"/>
      <w:sz w:val="22"/>
      <w:szCs w:val="22"/>
    </w:rPr>
    <w:tblPr>
      <w:tblStyleRowBandSize w:val="1"/>
      <w:tblStyleColBandSize w:val="1"/>
      <w:tblCellMar>
        <w:left w:w="115" w:type="dxa"/>
        <w:right w:w="115" w:type="dxa"/>
      </w:tblCellMar>
    </w:tblPr>
  </w:style>
  <w:style w:type="table" w:customStyle="1" w:styleId="affd">
    <w:basedOn w:val="TableNormal"/>
    <w:rPr>
      <w:color w:val="000000"/>
      <w:sz w:val="22"/>
      <w:szCs w:val="22"/>
    </w:rPr>
    <w:tblPr>
      <w:tblStyleRowBandSize w:val="1"/>
      <w:tblStyleColBandSize w:val="1"/>
      <w:tblCellMar>
        <w:left w:w="115" w:type="dxa"/>
        <w:right w:w="115" w:type="dxa"/>
      </w:tblCellMar>
    </w:tblPr>
  </w:style>
  <w:style w:type="table" w:customStyle="1" w:styleId="affe">
    <w:basedOn w:val="TableNormal"/>
    <w:rPr>
      <w:color w:val="000000"/>
      <w:sz w:val="22"/>
      <w:szCs w:val="22"/>
    </w:rPr>
    <w:tblPr>
      <w:tblStyleRowBandSize w:val="1"/>
      <w:tblStyleColBandSize w:val="1"/>
      <w:tblCellMar>
        <w:left w:w="115" w:type="dxa"/>
        <w:right w:w="115" w:type="dxa"/>
      </w:tblCellMar>
    </w:tblPr>
  </w:style>
  <w:style w:type="table" w:customStyle="1" w:styleId="afff">
    <w:basedOn w:val="TableNormal"/>
    <w:rPr>
      <w:color w:val="000000"/>
      <w:sz w:val="22"/>
      <w:szCs w:val="22"/>
    </w:rPr>
    <w:tblPr>
      <w:tblStyleRowBandSize w:val="1"/>
      <w:tblStyleColBandSize w:val="1"/>
      <w:tblCellMar>
        <w:left w:w="115" w:type="dxa"/>
        <w:right w:w="115" w:type="dxa"/>
      </w:tblCellMar>
    </w:tblPr>
  </w:style>
  <w:style w:type="table" w:customStyle="1" w:styleId="afff0">
    <w:basedOn w:val="TableNormal"/>
    <w:rPr>
      <w:color w:val="000000"/>
      <w:sz w:val="22"/>
      <w:szCs w:val="22"/>
    </w:rPr>
    <w:tblPr>
      <w:tblStyleRowBandSize w:val="1"/>
      <w:tblStyleColBandSize w:val="1"/>
      <w:tblCellMar>
        <w:left w:w="115" w:type="dxa"/>
        <w:right w:w="115" w:type="dxa"/>
      </w:tblCellMar>
    </w:tblPr>
  </w:style>
  <w:style w:type="table" w:customStyle="1" w:styleId="afff1">
    <w:basedOn w:val="TableNormal"/>
    <w:rPr>
      <w:color w:val="000000"/>
      <w:sz w:val="22"/>
      <w:szCs w:val="22"/>
    </w:rPr>
    <w:tblPr>
      <w:tblStyleRowBandSize w:val="1"/>
      <w:tblStyleColBandSize w:val="1"/>
      <w:tblCellMar>
        <w:left w:w="115" w:type="dxa"/>
        <w:right w:w="115" w:type="dxa"/>
      </w:tblCellMar>
    </w:tblPr>
  </w:style>
  <w:style w:type="table" w:customStyle="1" w:styleId="afff2">
    <w:basedOn w:val="TableNormal"/>
    <w:rPr>
      <w:color w:val="000000"/>
      <w:sz w:val="22"/>
      <w:szCs w:val="22"/>
    </w:rPr>
    <w:tblPr>
      <w:tblStyleRowBandSize w:val="1"/>
      <w:tblStyleColBandSize w:val="1"/>
      <w:tblCellMar>
        <w:left w:w="115" w:type="dxa"/>
        <w:right w:w="115" w:type="dxa"/>
      </w:tblCellMar>
    </w:tblPr>
  </w:style>
  <w:style w:type="table" w:customStyle="1" w:styleId="afff3">
    <w:basedOn w:val="TableNormal"/>
    <w:rPr>
      <w:color w:val="000000"/>
      <w:sz w:val="22"/>
      <w:szCs w:val="22"/>
    </w:rPr>
    <w:tblPr>
      <w:tblStyleRowBandSize w:val="1"/>
      <w:tblStyleColBandSize w:val="1"/>
      <w:tblCellMar>
        <w:left w:w="115" w:type="dxa"/>
        <w:right w:w="115" w:type="dxa"/>
      </w:tblCellMar>
    </w:tblPr>
  </w:style>
  <w:style w:type="table" w:customStyle="1" w:styleId="afff4">
    <w:basedOn w:val="TableNormal"/>
    <w:rPr>
      <w:color w:val="000000"/>
      <w:sz w:val="22"/>
      <w:szCs w:val="22"/>
    </w:rPr>
    <w:tblPr>
      <w:tblStyleRowBandSize w:val="1"/>
      <w:tblStyleColBandSize w:val="1"/>
      <w:tblCellMar>
        <w:left w:w="115" w:type="dxa"/>
        <w:right w:w="115" w:type="dxa"/>
      </w:tblCellMar>
    </w:tblPr>
  </w:style>
  <w:style w:type="table" w:customStyle="1" w:styleId="afff5">
    <w:basedOn w:val="TableNormal"/>
    <w:rPr>
      <w:color w:val="000000"/>
      <w:sz w:val="22"/>
      <w:szCs w:val="22"/>
    </w:rPr>
    <w:tblPr>
      <w:tblStyleRowBandSize w:val="1"/>
      <w:tblStyleColBandSize w:val="1"/>
      <w:tblCellMar>
        <w:left w:w="115" w:type="dxa"/>
        <w:right w:w="115" w:type="dxa"/>
      </w:tblCellMar>
    </w:tblPr>
  </w:style>
  <w:style w:type="table" w:customStyle="1" w:styleId="afff6">
    <w:basedOn w:val="TableNormal"/>
    <w:rPr>
      <w:color w:val="000000"/>
      <w:sz w:val="22"/>
      <w:szCs w:val="22"/>
    </w:rPr>
    <w:tblPr>
      <w:tblStyleRowBandSize w:val="1"/>
      <w:tblStyleColBandSize w:val="1"/>
      <w:tblCellMar>
        <w:left w:w="115" w:type="dxa"/>
        <w:right w:w="115" w:type="dxa"/>
      </w:tblCellMar>
    </w:tblPr>
  </w:style>
  <w:style w:type="table" w:customStyle="1" w:styleId="afff7">
    <w:basedOn w:val="TableNormal"/>
    <w:rPr>
      <w:color w:val="000000"/>
      <w:sz w:val="22"/>
      <w:szCs w:val="22"/>
    </w:rPr>
    <w:tblPr>
      <w:tblStyleRowBandSize w:val="1"/>
      <w:tblStyleColBandSize w:val="1"/>
      <w:tblCellMar>
        <w:left w:w="115" w:type="dxa"/>
        <w:right w:w="115" w:type="dxa"/>
      </w:tblCellMar>
    </w:tblPr>
  </w:style>
  <w:style w:type="table" w:customStyle="1" w:styleId="afff8">
    <w:basedOn w:val="TableNormal"/>
    <w:rPr>
      <w:color w:val="000000"/>
      <w:sz w:val="22"/>
      <w:szCs w:val="22"/>
    </w:rPr>
    <w:tblPr>
      <w:tblStyleRowBandSize w:val="1"/>
      <w:tblStyleColBandSize w:val="1"/>
      <w:tblCellMar>
        <w:left w:w="115" w:type="dxa"/>
        <w:right w:w="115" w:type="dxa"/>
      </w:tblCellMar>
    </w:tblPr>
  </w:style>
  <w:style w:type="table" w:customStyle="1" w:styleId="afff9">
    <w:basedOn w:val="TableNormal"/>
    <w:rPr>
      <w:color w:val="000000"/>
      <w:sz w:val="22"/>
      <w:szCs w:val="22"/>
    </w:rPr>
    <w:tblPr>
      <w:tblStyleRowBandSize w:val="1"/>
      <w:tblStyleColBandSize w:val="1"/>
      <w:tblCellMar>
        <w:left w:w="115" w:type="dxa"/>
        <w:right w:w="115" w:type="dxa"/>
      </w:tblCellMar>
    </w:tblPr>
  </w:style>
  <w:style w:type="table" w:customStyle="1" w:styleId="afffa">
    <w:basedOn w:val="TableNormal"/>
    <w:rPr>
      <w:color w:val="000000"/>
      <w:sz w:val="22"/>
      <w:szCs w:val="22"/>
    </w:rPr>
    <w:tblPr>
      <w:tblStyleRowBandSize w:val="1"/>
      <w:tblStyleColBandSize w:val="1"/>
      <w:tblCellMar>
        <w:left w:w="115" w:type="dxa"/>
        <w:right w:w="115" w:type="dxa"/>
      </w:tblCellMar>
    </w:tblPr>
  </w:style>
  <w:style w:type="table" w:customStyle="1" w:styleId="afffb">
    <w:basedOn w:val="TableNormal"/>
    <w:rPr>
      <w:color w:val="000000"/>
      <w:sz w:val="22"/>
      <w:szCs w:val="22"/>
    </w:rPr>
    <w:tblPr>
      <w:tblStyleRowBandSize w:val="1"/>
      <w:tblStyleColBandSize w:val="1"/>
      <w:tblCellMar>
        <w:left w:w="115" w:type="dxa"/>
        <w:right w:w="115" w:type="dxa"/>
      </w:tblCellMar>
    </w:tblPr>
  </w:style>
  <w:style w:type="table" w:customStyle="1" w:styleId="afffc">
    <w:basedOn w:val="TableNormal"/>
    <w:rPr>
      <w:color w:val="000000"/>
      <w:sz w:val="22"/>
      <w:szCs w:val="22"/>
    </w:rPr>
    <w:tblPr>
      <w:tblStyleRowBandSize w:val="1"/>
      <w:tblStyleColBandSize w:val="1"/>
      <w:tblCellMar>
        <w:left w:w="115" w:type="dxa"/>
        <w:right w:w="115" w:type="dxa"/>
      </w:tblCellMar>
    </w:tblPr>
  </w:style>
  <w:style w:type="table" w:customStyle="1" w:styleId="afffd">
    <w:basedOn w:val="TableNormal"/>
    <w:rPr>
      <w:color w:val="000000"/>
      <w:sz w:val="22"/>
      <w:szCs w:val="22"/>
    </w:rPr>
    <w:tblPr>
      <w:tblStyleRowBandSize w:val="1"/>
      <w:tblStyleColBandSize w:val="1"/>
      <w:tblCellMar>
        <w:left w:w="115" w:type="dxa"/>
        <w:right w:w="115" w:type="dxa"/>
      </w:tblCellMar>
    </w:tblPr>
  </w:style>
  <w:style w:type="table" w:customStyle="1" w:styleId="afffe">
    <w:basedOn w:val="TableNormal"/>
    <w:rPr>
      <w:color w:val="000000"/>
      <w:sz w:val="22"/>
      <w:szCs w:val="22"/>
    </w:rPr>
    <w:tblPr>
      <w:tblStyleRowBandSize w:val="1"/>
      <w:tblStyleColBandSize w:val="1"/>
      <w:tblCellMar>
        <w:left w:w="115" w:type="dxa"/>
        <w:right w:w="115" w:type="dxa"/>
      </w:tblCellMar>
    </w:tblPr>
  </w:style>
  <w:style w:type="table" w:customStyle="1" w:styleId="affff">
    <w:basedOn w:val="TableNormal"/>
    <w:rPr>
      <w:color w:val="000000"/>
      <w:sz w:val="22"/>
      <w:szCs w:val="22"/>
    </w:rPr>
    <w:tblPr>
      <w:tblStyleRowBandSize w:val="1"/>
      <w:tblStyleColBandSize w:val="1"/>
      <w:tblCellMar>
        <w:left w:w="115" w:type="dxa"/>
        <w:right w:w="115" w:type="dxa"/>
      </w:tblCellMar>
    </w:tblPr>
  </w:style>
  <w:style w:type="table" w:customStyle="1" w:styleId="affff0">
    <w:basedOn w:val="TableNormal"/>
    <w:rPr>
      <w:color w:val="000000"/>
      <w:sz w:val="22"/>
      <w:szCs w:val="22"/>
    </w:rPr>
    <w:tblPr>
      <w:tblStyleRowBandSize w:val="1"/>
      <w:tblStyleColBandSize w:val="1"/>
      <w:tblCellMar>
        <w:left w:w="115" w:type="dxa"/>
        <w:right w:w="115" w:type="dxa"/>
      </w:tblCellMar>
    </w:tblPr>
  </w:style>
  <w:style w:type="table" w:customStyle="1" w:styleId="affff1">
    <w:basedOn w:val="TableNormal"/>
    <w:rPr>
      <w:color w:val="000000"/>
      <w:sz w:val="22"/>
      <w:szCs w:val="22"/>
    </w:rPr>
    <w:tblPr>
      <w:tblStyleRowBandSize w:val="1"/>
      <w:tblStyleColBandSize w:val="1"/>
      <w:tblCellMar>
        <w:left w:w="115" w:type="dxa"/>
        <w:right w:w="115" w:type="dxa"/>
      </w:tblCellMar>
    </w:tblPr>
  </w:style>
  <w:style w:type="table" w:customStyle="1" w:styleId="affff2">
    <w:basedOn w:val="TableNormal"/>
    <w:rPr>
      <w:color w:val="000000"/>
      <w:sz w:val="22"/>
      <w:szCs w:val="22"/>
    </w:rPr>
    <w:tblPr>
      <w:tblStyleRowBandSize w:val="1"/>
      <w:tblStyleColBandSize w:val="1"/>
      <w:tblCellMar>
        <w:left w:w="115" w:type="dxa"/>
        <w:right w:w="115" w:type="dxa"/>
      </w:tblCellMar>
    </w:tblPr>
  </w:style>
  <w:style w:type="table" w:customStyle="1" w:styleId="affff3">
    <w:basedOn w:val="TableNormal"/>
    <w:rPr>
      <w:color w:val="000000"/>
      <w:sz w:val="22"/>
      <w:szCs w:val="22"/>
    </w:rPr>
    <w:tblPr>
      <w:tblStyleRowBandSize w:val="1"/>
      <w:tblStyleColBandSize w:val="1"/>
      <w:tblCellMar>
        <w:left w:w="115" w:type="dxa"/>
        <w:right w:w="115" w:type="dxa"/>
      </w:tblCellMar>
    </w:tblPr>
  </w:style>
  <w:style w:type="table" w:customStyle="1" w:styleId="affff4">
    <w:basedOn w:val="TableNormal"/>
    <w:rPr>
      <w:color w:val="000000"/>
      <w:sz w:val="22"/>
      <w:szCs w:val="22"/>
    </w:rPr>
    <w:tblPr>
      <w:tblStyleRowBandSize w:val="1"/>
      <w:tblStyleColBandSize w:val="1"/>
      <w:tblCellMar>
        <w:left w:w="115" w:type="dxa"/>
        <w:right w:w="115" w:type="dxa"/>
      </w:tblCellMar>
    </w:tblPr>
  </w:style>
  <w:style w:type="table" w:customStyle="1" w:styleId="affff5">
    <w:basedOn w:val="TableNormal"/>
    <w:rPr>
      <w:color w:val="000000"/>
      <w:sz w:val="22"/>
      <w:szCs w:val="22"/>
    </w:rPr>
    <w:tblPr>
      <w:tblStyleRowBandSize w:val="1"/>
      <w:tblStyleColBandSize w:val="1"/>
      <w:tblCellMar>
        <w:left w:w="115" w:type="dxa"/>
        <w:right w:w="115" w:type="dxa"/>
      </w:tblCellMar>
    </w:tblPr>
  </w:style>
  <w:style w:type="table" w:customStyle="1" w:styleId="affff6">
    <w:basedOn w:val="TableNormal"/>
    <w:rPr>
      <w:color w:val="000000"/>
      <w:sz w:val="22"/>
      <w:szCs w:val="22"/>
    </w:rPr>
    <w:tblPr>
      <w:tblStyleRowBandSize w:val="1"/>
      <w:tblStyleColBandSize w:val="1"/>
      <w:tblCellMar>
        <w:left w:w="115" w:type="dxa"/>
        <w:right w:w="115" w:type="dxa"/>
      </w:tblCellMar>
    </w:tblPr>
  </w:style>
  <w:style w:type="table" w:customStyle="1" w:styleId="affff7">
    <w:basedOn w:val="TableNormal"/>
    <w:rPr>
      <w:color w:val="000000"/>
      <w:sz w:val="22"/>
      <w:szCs w:val="22"/>
    </w:rPr>
    <w:tblPr>
      <w:tblStyleRowBandSize w:val="1"/>
      <w:tblStyleColBandSize w:val="1"/>
      <w:tblCellMar>
        <w:left w:w="115" w:type="dxa"/>
        <w:right w:w="115" w:type="dxa"/>
      </w:tblCellMar>
    </w:tblPr>
  </w:style>
  <w:style w:type="table" w:customStyle="1" w:styleId="affff8">
    <w:basedOn w:val="TableNormal"/>
    <w:rPr>
      <w:color w:val="000000"/>
      <w:sz w:val="22"/>
      <w:szCs w:val="22"/>
    </w:rPr>
    <w:tblPr>
      <w:tblStyleRowBandSize w:val="1"/>
      <w:tblStyleColBandSize w:val="1"/>
      <w:tblCellMar>
        <w:left w:w="115" w:type="dxa"/>
        <w:right w:w="115" w:type="dxa"/>
      </w:tblCellMar>
    </w:tblPr>
  </w:style>
  <w:style w:type="table" w:customStyle="1" w:styleId="affff9">
    <w:basedOn w:val="TableNormal"/>
    <w:rPr>
      <w:color w:val="000000"/>
      <w:sz w:val="22"/>
      <w:szCs w:val="22"/>
    </w:rPr>
    <w:tblPr>
      <w:tblStyleRowBandSize w:val="1"/>
      <w:tblStyleColBandSize w:val="1"/>
      <w:tblCellMar>
        <w:left w:w="115" w:type="dxa"/>
        <w:right w:w="115" w:type="dxa"/>
      </w:tblCellMar>
    </w:tblPr>
  </w:style>
  <w:style w:type="table" w:customStyle="1" w:styleId="affffa">
    <w:basedOn w:val="TableNormal"/>
    <w:rPr>
      <w:color w:val="000000"/>
      <w:sz w:val="22"/>
      <w:szCs w:val="22"/>
    </w:rPr>
    <w:tblPr>
      <w:tblStyleRowBandSize w:val="1"/>
      <w:tblStyleColBandSize w:val="1"/>
      <w:tblCellMar>
        <w:left w:w="115" w:type="dxa"/>
        <w:right w:w="115" w:type="dxa"/>
      </w:tblCellMar>
    </w:tblPr>
  </w:style>
  <w:style w:type="table" w:customStyle="1" w:styleId="affffb">
    <w:basedOn w:val="TableNormal"/>
    <w:rPr>
      <w:color w:val="000000"/>
      <w:sz w:val="22"/>
      <w:szCs w:val="22"/>
    </w:rPr>
    <w:tblPr>
      <w:tblStyleRowBandSize w:val="1"/>
      <w:tblStyleColBandSize w:val="1"/>
      <w:tblCellMar>
        <w:left w:w="115" w:type="dxa"/>
        <w:right w:w="115" w:type="dxa"/>
      </w:tblCellMar>
    </w:tblPr>
  </w:style>
  <w:style w:type="table" w:customStyle="1" w:styleId="affffc">
    <w:basedOn w:val="TableNormal"/>
    <w:rPr>
      <w:color w:val="000000"/>
      <w:sz w:val="22"/>
      <w:szCs w:val="22"/>
    </w:rPr>
    <w:tblPr>
      <w:tblStyleRowBandSize w:val="1"/>
      <w:tblStyleColBandSize w:val="1"/>
      <w:tblCellMar>
        <w:left w:w="115" w:type="dxa"/>
        <w:right w:w="115" w:type="dxa"/>
      </w:tblCellMar>
    </w:tblPr>
  </w:style>
  <w:style w:type="table" w:customStyle="1" w:styleId="affffd">
    <w:basedOn w:val="TableNormal"/>
    <w:rPr>
      <w:color w:val="000000"/>
      <w:sz w:val="22"/>
      <w:szCs w:val="22"/>
    </w:rPr>
    <w:tblPr>
      <w:tblStyleRowBandSize w:val="1"/>
      <w:tblStyleColBandSize w:val="1"/>
      <w:tblCellMar>
        <w:left w:w="115" w:type="dxa"/>
        <w:right w:w="115" w:type="dxa"/>
      </w:tblCellMar>
    </w:tblPr>
  </w:style>
  <w:style w:type="table" w:customStyle="1" w:styleId="affffe">
    <w:basedOn w:val="TableNormal"/>
    <w:rPr>
      <w:color w:val="000000"/>
      <w:sz w:val="22"/>
      <w:szCs w:val="22"/>
    </w:rPr>
    <w:tblPr>
      <w:tblStyleRowBandSize w:val="1"/>
      <w:tblStyleColBandSize w:val="1"/>
      <w:tblCellMar>
        <w:left w:w="115" w:type="dxa"/>
        <w:right w:w="115" w:type="dxa"/>
      </w:tblCellMar>
    </w:tblPr>
  </w:style>
  <w:style w:type="table" w:customStyle="1" w:styleId="afffff">
    <w:basedOn w:val="TableNormal"/>
    <w:rPr>
      <w:color w:val="000000"/>
      <w:sz w:val="22"/>
      <w:szCs w:val="22"/>
    </w:rPr>
    <w:tblPr>
      <w:tblStyleRowBandSize w:val="1"/>
      <w:tblStyleColBandSize w:val="1"/>
      <w:tblCellMar>
        <w:left w:w="115" w:type="dxa"/>
        <w:right w:w="115" w:type="dxa"/>
      </w:tblCellMar>
    </w:tblPr>
  </w:style>
  <w:style w:type="table" w:customStyle="1" w:styleId="afffff0">
    <w:basedOn w:val="TableNormal"/>
    <w:rPr>
      <w:color w:val="000000"/>
      <w:sz w:val="22"/>
      <w:szCs w:val="22"/>
    </w:rPr>
    <w:tblPr>
      <w:tblStyleRowBandSize w:val="1"/>
      <w:tblStyleColBandSize w:val="1"/>
      <w:tblCellMar>
        <w:left w:w="115" w:type="dxa"/>
        <w:right w:w="115" w:type="dxa"/>
      </w:tblCellMar>
    </w:tblPr>
  </w:style>
  <w:style w:type="table" w:customStyle="1" w:styleId="afffff1">
    <w:basedOn w:val="TableNormal"/>
    <w:rPr>
      <w:color w:val="000000"/>
      <w:sz w:val="22"/>
      <w:szCs w:val="22"/>
    </w:rPr>
    <w:tblPr>
      <w:tblStyleRowBandSize w:val="1"/>
      <w:tblStyleColBandSize w:val="1"/>
      <w:tblCellMar>
        <w:left w:w="115" w:type="dxa"/>
        <w:right w:w="115" w:type="dxa"/>
      </w:tblCellMar>
    </w:tblPr>
  </w:style>
  <w:style w:type="table" w:customStyle="1" w:styleId="afffff2">
    <w:basedOn w:val="TableNormal"/>
    <w:rPr>
      <w:color w:val="000000"/>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fia-online.org/en/sfia-7/all-skills-a-z" TargetMode="External"/><Relationship Id="rId4" Type="http://schemas.openxmlformats.org/officeDocument/2006/relationships/styles" Target="styles.xml"/><Relationship Id="rId9" Type="http://schemas.openxmlformats.org/officeDocument/2006/relationships/hyperlink" Target="https://sfia-online.org/en/sfia-7/all-skills-a-z"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WuEH73AqJqvrdrDbnkahj+eIQg==">AMUW2mVT551riQQR1OO7KJ8r6qkrmXjjoJKEdDKOaM4MjI11vk/SQXf2krbkEr9gL0TwxMIhMNTJpHZzMEvE0T3N7c9LnkTjWjRKe3Rh7ZTAVSKXZzth1lMb0W5Ll3fuZoHGfUAGkz7KyEHarXT7A6qTS64DTHRV7b4Pls3MG/mzwwOxT6HgEQg=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AAEE7F7-3E34-4252-A03A-C31CC5402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57</Pages>
  <Words>11355</Words>
  <Characters>64726</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Edmonds1</dc:creator>
  <cp:lastModifiedBy>James Byrne</cp:lastModifiedBy>
  <cp:revision>5</cp:revision>
  <dcterms:created xsi:type="dcterms:W3CDTF">2021-12-09T13:14:00Z</dcterms:created>
  <dcterms:modified xsi:type="dcterms:W3CDTF">2021-12-20T09:38:00Z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2021-02-17T14:18:44Z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85161cb9-db58-4c17-8d95-43516cd02b14</vt:lpwstr>
  </property>
  <property fmtid="{D5CDD505-2E9C-101B-9397-08002B2CF9AE}" pid="8" name="MSIP_Label_f9af038e-07b4-4369-a678-c835687cb272_ContentBits">
    <vt:lpwstr>2</vt:lpwstr>
  </property>
  <property fmtid="{D5CDD505-2E9C-101B-9397-08002B2CF9AE}" pid="9" name="ContentTypeId">
    <vt:lpwstr>0x0101005711044F9C891445A5E43B0D661475E7</vt:lpwstr>
  </property>
</Properties>
</file>